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31B5E" w:rsidRDefault="00610FE6" w:rsidP="007A7255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-254000</wp:posOffset>
                </wp:positionV>
                <wp:extent cx="7229475" cy="762000"/>
                <wp:effectExtent l="0" t="0" r="9525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7DD" w:rsidRPr="00B924FC" w:rsidRDefault="00DB17DD" w:rsidP="00131B5E">
                            <w:pPr>
                              <w:pStyle w:val="Header"/>
                              <w:tabs>
                                <w:tab w:val="left" w:pos="9990"/>
                              </w:tabs>
                              <w:ind w:left="-720" w:right="-720"/>
                              <w:jc w:val="center"/>
                              <w:rPr>
                                <w:rFonts w:ascii="Calibri" w:hAnsi="Calibri"/>
                                <w:color w:val="F2F2F2"/>
                                <w:sz w:val="42"/>
                                <w:szCs w:val="42"/>
                              </w:rPr>
                            </w:pPr>
                            <w:r w:rsidRPr="00EB074A">
                              <w:rPr>
                                <w:rFonts w:ascii="Calibri" w:hAnsi="Calibri"/>
                                <w:color w:val="F2F2F2"/>
                                <w:sz w:val="96"/>
                                <w:szCs w:val="96"/>
                                <w:highlight w:val="darkBlue"/>
                              </w:rPr>
                              <w:t>OEA</w:t>
                            </w:r>
                            <w:r>
                              <w:rPr>
                                <w:rFonts w:ascii="Calibri" w:hAnsi="Calibri"/>
                                <w:color w:val="17365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B2036">
                              <w:rPr>
                                <w:rFonts w:ascii="Calibri" w:hAnsi="Calibri"/>
                                <w:b/>
                                <w:smallCaps/>
                                <w:color w:val="17365D"/>
                                <w:sz w:val="42"/>
                                <w:szCs w:val="42"/>
                                <w:u w:val="single"/>
                              </w:rPr>
                              <w:t>Education Policy Research &amp; M</w:t>
                            </w:r>
                            <w:r w:rsidR="00B924FC" w:rsidRPr="00B924FC">
                              <w:rPr>
                                <w:rFonts w:ascii="Calibri" w:hAnsi="Calibri"/>
                                <w:b/>
                                <w:smallCaps/>
                                <w:color w:val="17365D"/>
                                <w:sz w:val="42"/>
                                <w:szCs w:val="42"/>
                                <w:u w:val="single"/>
                              </w:rPr>
                              <w:t>ember Advocacy</w:t>
                            </w:r>
                            <w:r w:rsidRPr="00B924FC">
                              <w:rPr>
                                <w:rFonts w:ascii="Calibri" w:hAnsi="Calibri"/>
                                <w:b/>
                                <w:caps/>
                                <w:color w:val="17365D"/>
                                <w:sz w:val="42"/>
                                <w:szCs w:val="42"/>
                                <w:u w:val="single"/>
                              </w:rPr>
                              <w:t xml:space="preserve"> </w:t>
                            </w:r>
                            <w:r w:rsidRPr="00B924FC">
                              <w:rPr>
                                <w:rFonts w:ascii="Calibri" w:hAnsi="Calibri"/>
                                <w:color w:val="17365D"/>
                                <w:sz w:val="42"/>
                                <w:szCs w:val="42"/>
                                <w:u w:val="single"/>
                              </w:rPr>
                              <w:t>Bulletin</w:t>
                            </w:r>
                          </w:p>
                          <w:p w:rsidR="00DB17DD" w:rsidRPr="00B924FC" w:rsidRDefault="00DB17DD">
                            <w:pPr>
                              <w:rPr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-20pt;width:569.25pt;height:60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" stroked="f">
                <v:textbox>
                  <w:txbxContent>
                    <w:p w:rsidR="00DB17DD" w:rsidRPr="00B924FC" w:rsidRDefault="00DB17DD" w:rsidP="00131B5E">
                      <w:pPr>
                        <w:pStyle w:val="Header"/>
                        <w:tabs>
                          <w:tab w:val="left" w:pos="9990"/>
                        </w:tabs>
                        <w:ind w:left="-720" w:right="-720"/>
                        <w:jc w:val="center"/>
                        <w:rPr>
                          <w:rFonts w:ascii="Calibri" w:hAnsi="Calibri"/>
                          <w:color w:val="F2F2F2"/>
                          <w:sz w:val="42"/>
                          <w:szCs w:val="42"/>
                        </w:rPr>
                      </w:pPr>
                      <w:r w:rsidRPr="00EB074A">
                        <w:rPr>
                          <w:rFonts w:ascii="Calibri" w:hAnsi="Calibri"/>
                          <w:color w:val="F2F2F2"/>
                          <w:sz w:val="96"/>
                          <w:szCs w:val="96"/>
                          <w:highlight w:val="darkBlue"/>
                        </w:rPr>
                        <w:t>OEA</w:t>
                      </w:r>
                      <w:r>
                        <w:rPr>
                          <w:rFonts w:ascii="Calibri" w:hAnsi="Calibri"/>
                          <w:color w:val="17365D"/>
                          <w:sz w:val="48"/>
                          <w:szCs w:val="48"/>
                        </w:rPr>
                        <w:t xml:space="preserve"> </w:t>
                      </w:r>
                      <w:r w:rsidR="00AB2036">
                        <w:rPr>
                          <w:rFonts w:ascii="Calibri" w:hAnsi="Calibri"/>
                          <w:b/>
                          <w:smallCaps/>
                          <w:color w:val="17365D"/>
                          <w:sz w:val="42"/>
                          <w:szCs w:val="42"/>
                          <w:u w:val="single"/>
                        </w:rPr>
                        <w:t>Education Policy Research &amp; M</w:t>
                      </w:r>
                      <w:r w:rsidR="00B924FC" w:rsidRPr="00B924FC">
                        <w:rPr>
                          <w:rFonts w:ascii="Calibri" w:hAnsi="Calibri"/>
                          <w:b/>
                          <w:smallCaps/>
                          <w:color w:val="17365D"/>
                          <w:sz w:val="42"/>
                          <w:szCs w:val="42"/>
                          <w:u w:val="single"/>
                        </w:rPr>
                        <w:t>ember Advocacy</w:t>
                      </w:r>
                      <w:r w:rsidRPr="00B924FC">
                        <w:rPr>
                          <w:rFonts w:ascii="Calibri" w:hAnsi="Calibri"/>
                          <w:b/>
                          <w:caps/>
                          <w:color w:val="17365D"/>
                          <w:sz w:val="42"/>
                          <w:szCs w:val="42"/>
                          <w:u w:val="single"/>
                        </w:rPr>
                        <w:t xml:space="preserve"> </w:t>
                      </w:r>
                      <w:r w:rsidRPr="00B924FC">
                        <w:rPr>
                          <w:rFonts w:ascii="Calibri" w:hAnsi="Calibri"/>
                          <w:color w:val="17365D"/>
                          <w:sz w:val="42"/>
                          <w:szCs w:val="42"/>
                          <w:u w:val="single"/>
                        </w:rPr>
                        <w:t>Bulletin</w:t>
                      </w:r>
                    </w:p>
                    <w:p w:rsidR="00DB17DD" w:rsidRPr="00B924FC" w:rsidRDefault="00DB17DD">
                      <w:pPr>
                        <w:rPr>
                          <w:sz w:val="42"/>
                          <w:szCs w:val="4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2B33" w:rsidRDefault="007D2B33" w:rsidP="007A7255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024ED3" w:rsidRDefault="00024ED3" w:rsidP="007A7255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C637D4" w:rsidRPr="000A0C0B" w:rsidRDefault="000A0C0B" w:rsidP="007A7255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0A0C0B">
        <w:rPr>
          <w:rFonts w:ascii="Calibri" w:hAnsi="Calibri"/>
          <w:b/>
          <w:sz w:val="32"/>
          <w:szCs w:val="32"/>
          <w:u w:val="single"/>
        </w:rPr>
        <w:t>Changes to and E</w:t>
      </w:r>
      <w:r w:rsidR="00C637D4" w:rsidRPr="000A0C0B">
        <w:rPr>
          <w:rFonts w:ascii="Calibri" w:hAnsi="Calibri"/>
          <w:b/>
          <w:sz w:val="32"/>
          <w:szCs w:val="32"/>
          <w:u w:val="single"/>
        </w:rPr>
        <w:t xml:space="preserve">ffects upon Improvement Plans </w:t>
      </w:r>
    </w:p>
    <w:p w:rsidR="00131B5E" w:rsidRPr="000A0C0B" w:rsidRDefault="00C637D4" w:rsidP="007A7255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0A0C0B">
        <w:rPr>
          <w:rFonts w:ascii="Calibri" w:hAnsi="Calibri"/>
          <w:b/>
          <w:sz w:val="28"/>
          <w:szCs w:val="28"/>
          <w:u w:val="single"/>
        </w:rPr>
        <w:t>Effective January 1, 2016</w:t>
      </w:r>
    </w:p>
    <w:p w:rsidR="00131B5E" w:rsidRPr="00C637D4" w:rsidRDefault="00131B5E" w:rsidP="007A7255">
      <w:pPr>
        <w:jc w:val="center"/>
        <w:rPr>
          <w:rFonts w:ascii="Calibri" w:hAnsi="Calibri"/>
          <w:b/>
          <w:sz w:val="24"/>
          <w:szCs w:val="24"/>
        </w:rPr>
      </w:pPr>
    </w:p>
    <w:p w:rsidR="00D728BF" w:rsidRDefault="00045341" w:rsidP="00045341">
      <w:pPr>
        <w:jc w:val="center"/>
        <w:textAlignment w:val="top"/>
        <w:rPr>
          <w:rFonts w:ascii="Calibri" w:hAnsi="Calibri"/>
          <w:sz w:val="24"/>
          <w:szCs w:val="24"/>
        </w:rPr>
      </w:pPr>
      <w:r w:rsidRPr="000A0C0B">
        <w:rPr>
          <w:rFonts w:ascii="Calibri" w:hAnsi="Calibri"/>
          <w:i/>
          <w:sz w:val="24"/>
          <w:szCs w:val="24"/>
        </w:rPr>
        <w:t>Cheers to a new year and another chance for us to get it right.</w:t>
      </w:r>
      <w:r w:rsidR="000A0C0B">
        <w:rPr>
          <w:rFonts w:ascii="Calibri" w:hAnsi="Calibri"/>
          <w:sz w:val="24"/>
          <w:szCs w:val="24"/>
        </w:rPr>
        <w:t xml:space="preserve"> </w:t>
      </w:r>
      <w:r w:rsidR="000A0C0B" w:rsidRPr="000A0C0B">
        <w:rPr>
          <w:rFonts w:ascii="Calibri" w:hAnsi="Calibri"/>
          <w:sz w:val="24"/>
          <w:szCs w:val="24"/>
          <w:vertAlign w:val="subscript"/>
        </w:rPr>
        <w:t>~</w:t>
      </w:r>
      <w:r w:rsidR="000A0C0B">
        <w:rPr>
          <w:rFonts w:ascii="Calibri" w:hAnsi="Calibri"/>
          <w:sz w:val="24"/>
          <w:szCs w:val="24"/>
        </w:rPr>
        <w:t xml:space="preserve"> </w:t>
      </w:r>
      <w:r w:rsidRPr="00C637D4">
        <w:rPr>
          <w:rFonts w:ascii="Calibri" w:hAnsi="Calibri"/>
          <w:sz w:val="24"/>
          <w:szCs w:val="24"/>
        </w:rPr>
        <w:t>Oprah Winfrey</w:t>
      </w:r>
    </w:p>
    <w:p w:rsidR="00C637D4" w:rsidRDefault="00C637D4" w:rsidP="00045341">
      <w:pPr>
        <w:jc w:val="center"/>
        <w:textAlignment w:val="top"/>
        <w:rPr>
          <w:rFonts w:ascii="Calibri" w:hAnsi="Calibri"/>
          <w:b/>
          <w:sz w:val="24"/>
          <w:szCs w:val="24"/>
          <w:u w:val="single"/>
        </w:rPr>
      </w:pPr>
    </w:p>
    <w:p w:rsidR="00024ED3" w:rsidRDefault="00024ED3" w:rsidP="00045341">
      <w:pPr>
        <w:jc w:val="center"/>
        <w:textAlignment w:val="top"/>
        <w:rPr>
          <w:rFonts w:ascii="Calibri" w:hAnsi="Calibri"/>
          <w:b/>
          <w:sz w:val="24"/>
          <w:szCs w:val="24"/>
          <w:u w:val="single"/>
        </w:rPr>
      </w:pPr>
    </w:p>
    <w:p w:rsidR="00C637D4" w:rsidRDefault="00C637D4" w:rsidP="00C637D4">
      <w:pPr>
        <w:textAlignment w:val="top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Resulting from changes made to the Ohio Te</w:t>
      </w:r>
      <w:r w:rsidR="000A0C0B">
        <w:rPr>
          <w:rFonts w:ascii="Calibri" w:hAnsi="Calibri"/>
          <w:sz w:val="24"/>
          <w:szCs w:val="24"/>
        </w:rPr>
        <w:t>acher Evaluation System (OTES) f</w:t>
      </w:r>
      <w:r>
        <w:rPr>
          <w:rFonts w:ascii="Calibri" w:hAnsi="Calibri"/>
          <w:sz w:val="24"/>
          <w:szCs w:val="24"/>
        </w:rPr>
        <w:t>ramework by the Ohio State Board of Education (OSBOE), the electronic Teacher Principal Evaluation System (eTPES</w:t>
      </w:r>
      <w:r w:rsidR="007579CB">
        <w:rPr>
          <w:rFonts w:ascii="Calibri" w:hAnsi="Calibri"/>
          <w:sz w:val="24"/>
          <w:szCs w:val="24"/>
        </w:rPr>
        <w:t>) will no longer indicate</w:t>
      </w:r>
      <w:r>
        <w:rPr>
          <w:rFonts w:ascii="Calibri" w:hAnsi="Calibri"/>
          <w:sz w:val="24"/>
          <w:szCs w:val="24"/>
        </w:rPr>
        <w:t xml:space="preserve"> improvement plans </w:t>
      </w:r>
      <w:r w:rsidR="007579CB">
        <w:rPr>
          <w:rFonts w:ascii="Calibri" w:hAnsi="Calibri"/>
          <w:sz w:val="24"/>
          <w:szCs w:val="24"/>
        </w:rPr>
        <w:t>are required based upon</w:t>
      </w:r>
      <w:r>
        <w:rPr>
          <w:rFonts w:ascii="Calibri" w:hAnsi="Calibri"/>
          <w:sz w:val="24"/>
          <w:szCs w:val="24"/>
        </w:rPr>
        <w:t xml:space="preserve"> below expected growth ratings </w:t>
      </w:r>
      <w:r w:rsidR="005B067F">
        <w:rPr>
          <w:rFonts w:ascii="Calibri" w:hAnsi="Calibri"/>
          <w:sz w:val="24"/>
          <w:szCs w:val="24"/>
        </w:rPr>
        <w:t xml:space="preserve">(SGMs) </w:t>
      </w:r>
      <w:r w:rsidR="001C39CE">
        <w:rPr>
          <w:rFonts w:ascii="Calibri" w:hAnsi="Calibri"/>
          <w:sz w:val="24"/>
          <w:szCs w:val="24"/>
        </w:rPr>
        <w:t>within summative evaluation ratings.  Starting January 1, 2015</w:t>
      </w:r>
      <w:r w:rsidR="000A0C0B">
        <w:rPr>
          <w:rFonts w:ascii="Calibri" w:hAnsi="Calibri"/>
          <w:sz w:val="24"/>
          <w:szCs w:val="24"/>
        </w:rPr>
        <w:t>,</w:t>
      </w:r>
      <w:r w:rsidR="001C39CE">
        <w:rPr>
          <w:rFonts w:ascii="Calibri" w:hAnsi="Calibri"/>
          <w:sz w:val="24"/>
          <w:szCs w:val="24"/>
        </w:rPr>
        <w:t xml:space="preserve"> only summative ratings of ‘ineffective’</w:t>
      </w:r>
      <w:r w:rsidR="005B067F">
        <w:rPr>
          <w:rFonts w:ascii="Calibri" w:hAnsi="Calibri"/>
          <w:sz w:val="24"/>
          <w:szCs w:val="24"/>
        </w:rPr>
        <w:t xml:space="preserve"> will </w:t>
      </w:r>
      <w:r w:rsidR="005D5BEF">
        <w:rPr>
          <w:rFonts w:ascii="Calibri" w:hAnsi="Calibri"/>
          <w:sz w:val="24"/>
          <w:szCs w:val="24"/>
        </w:rPr>
        <w:t xml:space="preserve">indicate </w:t>
      </w:r>
      <w:r w:rsidR="000A0C0B">
        <w:rPr>
          <w:rFonts w:ascii="Calibri" w:hAnsi="Calibri"/>
          <w:sz w:val="24"/>
          <w:szCs w:val="24"/>
        </w:rPr>
        <w:t>mandated improvement plans</w:t>
      </w:r>
      <w:r w:rsidR="001C39CE">
        <w:rPr>
          <w:rFonts w:ascii="Calibri" w:hAnsi="Calibri"/>
          <w:sz w:val="24"/>
          <w:szCs w:val="24"/>
        </w:rPr>
        <w:t xml:space="preserve"> within eTPES.  </w:t>
      </w:r>
    </w:p>
    <w:p w:rsidR="005B067F" w:rsidRDefault="005B067F" w:rsidP="00C637D4">
      <w:pPr>
        <w:textAlignment w:val="top"/>
        <w:rPr>
          <w:rFonts w:ascii="Calibri" w:hAnsi="Calibri"/>
          <w:sz w:val="24"/>
          <w:szCs w:val="24"/>
        </w:rPr>
      </w:pPr>
    </w:p>
    <w:p w:rsidR="005B067F" w:rsidRDefault="005D5BEF" w:rsidP="00C637D4">
      <w:pPr>
        <w:textAlignment w:val="top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Current, i</w:t>
      </w:r>
      <w:r w:rsidR="005B067F">
        <w:rPr>
          <w:rFonts w:ascii="Calibri" w:hAnsi="Calibri"/>
          <w:sz w:val="24"/>
          <w:szCs w:val="24"/>
        </w:rPr>
        <w:t>mprovement plans</w:t>
      </w:r>
      <w:r w:rsidR="009E712D">
        <w:rPr>
          <w:rFonts w:ascii="Calibri" w:hAnsi="Calibri"/>
          <w:sz w:val="24"/>
          <w:szCs w:val="24"/>
        </w:rPr>
        <w:t>,</w:t>
      </w:r>
      <w:r w:rsidR="005B067F">
        <w:rPr>
          <w:rFonts w:ascii="Calibri" w:hAnsi="Calibri"/>
          <w:sz w:val="24"/>
          <w:szCs w:val="24"/>
        </w:rPr>
        <w:t xml:space="preserve"> </w:t>
      </w:r>
      <w:r w:rsidR="009E712D">
        <w:rPr>
          <w:rFonts w:ascii="Calibri" w:hAnsi="Calibri"/>
          <w:sz w:val="24"/>
          <w:szCs w:val="24"/>
        </w:rPr>
        <w:t>which were implemented based upon</w:t>
      </w:r>
      <w:r w:rsidR="005B067F">
        <w:rPr>
          <w:rFonts w:ascii="Calibri" w:hAnsi="Calibri"/>
          <w:sz w:val="24"/>
          <w:szCs w:val="24"/>
        </w:rPr>
        <w:t xml:space="preserve"> below expect</w:t>
      </w:r>
      <w:r w:rsidR="009E712D">
        <w:rPr>
          <w:rFonts w:ascii="Calibri" w:hAnsi="Calibri"/>
          <w:sz w:val="24"/>
          <w:szCs w:val="24"/>
        </w:rPr>
        <w:t>ed student growth measures</w:t>
      </w:r>
      <w:r w:rsidR="005B067F">
        <w:rPr>
          <w:rFonts w:ascii="Calibri" w:hAnsi="Calibri"/>
          <w:sz w:val="24"/>
          <w:szCs w:val="24"/>
        </w:rPr>
        <w:t xml:space="preserve"> within </w:t>
      </w:r>
      <w:r w:rsidR="009E712D">
        <w:rPr>
          <w:rFonts w:ascii="Calibri" w:hAnsi="Calibri"/>
          <w:sz w:val="24"/>
          <w:szCs w:val="24"/>
        </w:rPr>
        <w:t xml:space="preserve">the </w:t>
      </w:r>
      <w:r w:rsidR="005B067F">
        <w:rPr>
          <w:rFonts w:ascii="Calibri" w:hAnsi="Calibri"/>
          <w:sz w:val="24"/>
          <w:szCs w:val="24"/>
        </w:rPr>
        <w:t>2014-2015 summative evaluation ratings</w:t>
      </w:r>
      <w:r w:rsidR="009E712D">
        <w:rPr>
          <w:rFonts w:ascii="Calibri" w:hAnsi="Calibri"/>
          <w:sz w:val="24"/>
          <w:szCs w:val="24"/>
        </w:rPr>
        <w:t>,</w:t>
      </w:r>
      <w:r w:rsidR="002668B7">
        <w:rPr>
          <w:rFonts w:ascii="Calibri" w:hAnsi="Calibri"/>
          <w:sz w:val="24"/>
          <w:szCs w:val="24"/>
        </w:rPr>
        <w:t xml:space="preserve"> </w:t>
      </w:r>
      <w:r w:rsidR="005B067F">
        <w:rPr>
          <w:rFonts w:ascii="Calibri" w:hAnsi="Calibri"/>
          <w:sz w:val="24"/>
          <w:szCs w:val="24"/>
        </w:rPr>
        <w:t xml:space="preserve">were based </w:t>
      </w:r>
      <w:r w:rsidR="009E712D">
        <w:rPr>
          <w:rFonts w:ascii="Calibri" w:hAnsi="Calibri"/>
          <w:sz w:val="24"/>
          <w:szCs w:val="24"/>
        </w:rPr>
        <w:t xml:space="preserve">on </w:t>
      </w:r>
      <w:r w:rsidR="005B067F">
        <w:rPr>
          <w:rFonts w:ascii="Calibri" w:hAnsi="Calibri"/>
          <w:sz w:val="24"/>
          <w:szCs w:val="24"/>
        </w:rPr>
        <w:t xml:space="preserve">one or more of the following: </w:t>
      </w:r>
    </w:p>
    <w:p w:rsidR="005B067F" w:rsidRDefault="005B067F" w:rsidP="00C637D4">
      <w:pPr>
        <w:textAlignment w:val="top"/>
        <w:rPr>
          <w:rFonts w:ascii="Calibri" w:hAnsi="Calibri"/>
          <w:sz w:val="24"/>
          <w:szCs w:val="24"/>
        </w:rPr>
      </w:pPr>
    </w:p>
    <w:p w:rsidR="005B067F" w:rsidRDefault="005B067F" w:rsidP="005B067F">
      <w:pPr>
        <w:pStyle w:val="ListParagraph"/>
        <w:numPr>
          <w:ilvl w:val="0"/>
          <w:numId w:val="7"/>
        </w:numPr>
        <w:textAlignment w:val="top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Student Learning Objectives from SY 2014-2015 </w:t>
      </w:r>
      <w:r w:rsidR="00694E5A">
        <w:rPr>
          <w:rFonts w:ascii="Calibri" w:hAnsi="Calibri"/>
          <w:sz w:val="24"/>
          <w:szCs w:val="24"/>
        </w:rPr>
        <w:t xml:space="preserve">– </w:t>
      </w:r>
      <w:r w:rsidR="00694E5A" w:rsidRPr="001B78FA">
        <w:rPr>
          <w:rFonts w:ascii="Calibri" w:hAnsi="Calibri"/>
          <w:i/>
          <w:sz w:val="24"/>
          <w:szCs w:val="24"/>
        </w:rPr>
        <w:t>category B and/or C teachers</w:t>
      </w:r>
      <w:r w:rsidR="007D2B33">
        <w:rPr>
          <w:rFonts w:ascii="Calibri" w:hAnsi="Calibri"/>
          <w:i/>
          <w:sz w:val="24"/>
          <w:szCs w:val="24"/>
        </w:rPr>
        <w:t>.</w:t>
      </w:r>
    </w:p>
    <w:p w:rsidR="005B067F" w:rsidRDefault="001B3CDD" w:rsidP="005B067F">
      <w:pPr>
        <w:pStyle w:val="ListParagraph"/>
        <w:numPr>
          <w:ilvl w:val="0"/>
          <w:numId w:val="7"/>
        </w:numPr>
        <w:textAlignment w:val="top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Vendor Assessments from SY</w:t>
      </w:r>
      <w:r w:rsidR="005D5BEF">
        <w:rPr>
          <w:rFonts w:ascii="Calibri" w:hAnsi="Calibri"/>
          <w:sz w:val="24"/>
          <w:szCs w:val="24"/>
        </w:rPr>
        <w:t xml:space="preserve"> </w:t>
      </w:r>
      <w:r w:rsidR="005B067F">
        <w:rPr>
          <w:rFonts w:ascii="Calibri" w:hAnsi="Calibri"/>
          <w:sz w:val="24"/>
          <w:szCs w:val="24"/>
        </w:rPr>
        <w:t>2014-2015</w:t>
      </w:r>
      <w:r w:rsidR="000A0C0B">
        <w:rPr>
          <w:rFonts w:ascii="Calibri" w:hAnsi="Calibri"/>
          <w:sz w:val="24"/>
          <w:szCs w:val="24"/>
        </w:rPr>
        <w:t xml:space="preserve"> – </w:t>
      </w:r>
      <w:r w:rsidR="00694E5A" w:rsidRPr="001B78FA">
        <w:rPr>
          <w:rFonts w:ascii="Calibri" w:hAnsi="Calibri"/>
          <w:i/>
          <w:sz w:val="24"/>
          <w:szCs w:val="24"/>
        </w:rPr>
        <w:t>exclusively category B and potentially A2 teachers</w:t>
      </w:r>
      <w:r w:rsidR="007D2B33">
        <w:rPr>
          <w:rFonts w:ascii="Calibri" w:hAnsi="Calibri"/>
          <w:sz w:val="24"/>
          <w:szCs w:val="24"/>
        </w:rPr>
        <w:t>.</w:t>
      </w:r>
    </w:p>
    <w:p w:rsidR="005B067F" w:rsidRPr="001B78FA" w:rsidRDefault="009E712D" w:rsidP="005B067F">
      <w:pPr>
        <w:pStyle w:val="ListParagraph"/>
        <w:numPr>
          <w:ilvl w:val="0"/>
          <w:numId w:val="7"/>
        </w:numPr>
        <w:textAlignment w:val="top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Results from the</w:t>
      </w:r>
      <w:r w:rsidR="005B067F">
        <w:rPr>
          <w:rFonts w:ascii="Calibri" w:hAnsi="Calibri"/>
          <w:sz w:val="24"/>
          <w:szCs w:val="24"/>
        </w:rPr>
        <w:t xml:space="preserve"> Sta</w:t>
      </w:r>
      <w:r w:rsidR="00AD7AD3">
        <w:rPr>
          <w:rFonts w:ascii="Calibri" w:hAnsi="Calibri"/>
          <w:sz w:val="24"/>
          <w:szCs w:val="24"/>
        </w:rPr>
        <w:t>te Assessments administered in s</w:t>
      </w:r>
      <w:r w:rsidR="005B067F">
        <w:rPr>
          <w:rFonts w:ascii="Calibri" w:hAnsi="Calibri"/>
          <w:sz w:val="24"/>
          <w:szCs w:val="24"/>
        </w:rPr>
        <w:t xml:space="preserve">pring </w:t>
      </w:r>
      <w:r>
        <w:rPr>
          <w:rFonts w:ascii="Calibri" w:hAnsi="Calibri"/>
          <w:sz w:val="24"/>
          <w:szCs w:val="24"/>
        </w:rPr>
        <w:t xml:space="preserve">of 2014 </w:t>
      </w:r>
      <w:r w:rsidR="00694E5A">
        <w:rPr>
          <w:rFonts w:ascii="Calibri" w:hAnsi="Calibri"/>
          <w:sz w:val="24"/>
          <w:szCs w:val="24"/>
        </w:rPr>
        <w:t>–</w:t>
      </w:r>
      <w:r w:rsidR="000A0C0B">
        <w:rPr>
          <w:rFonts w:ascii="Calibri" w:hAnsi="Calibri"/>
          <w:sz w:val="24"/>
          <w:szCs w:val="24"/>
        </w:rPr>
        <w:t xml:space="preserve"> </w:t>
      </w:r>
      <w:r w:rsidR="00694E5A" w:rsidRPr="001B78FA">
        <w:rPr>
          <w:rFonts w:ascii="Calibri" w:hAnsi="Calibri"/>
          <w:i/>
          <w:sz w:val="24"/>
          <w:szCs w:val="24"/>
        </w:rPr>
        <w:t>exclusively A1, A2 teachers</w:t>
      </w:r>
      <w:r w:rsidR="00AD7AD3">
        <w:rPr>
          <w:rFonts w:ascii="Calibri" w:hAnsi="Calibri"/>
          <w:i/>
          <w:sz w:val="24"/>
          <w:szCs w:val="24"/>
        </w:rPr>
        <w:t>.</w:t>
      </w:r>
    </w:p>
    <w:p w:rsidR="009E712D" w:rsidRDefault="00AD7AD3" w:rsidP="007579CB">
      <w:pPr>
        <w:ind w:left="720"/>
        <w:textAlignment w:val="top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0A0C0B">
        <w:rPr>
          <w:rFonts w:ascii="Calibri" w:hAnsi="Calibri"/>
          <w:sz w:val="24"/>
          <w:szCs w:val="24"/>
        </w:rPr>
        <w:t xml:space="preserve">his included </w:t>
      </w:r>
      <w:r w:rsidR="009E712D">
        <w:rPr>
          <w:rFonts w:ascii="Calibri" w:hAnsi="Calibri"/>
          <w:sz w:val="24"/>
          <w:szCs w:val="24"/>
        </w:rPr>
        <w:t xml:space="preserve">AIR/PARCC SS, S, High School End of Course (EOC) pilots, 3-8 Math </w:t>
      </w:r>
      <w:r w:rsidR="001B3CDD">
        <w:rPr>
          <w:rFonts w:ascii="Calibri" w:hAnsi="Calibri"/>
          <w:sz w:val="24"/>
          <w:szCs w:val="24"/>
        </w:rPr>
        <w:t>and ELA</w:t>
      </w:r>
      <w:r w:rsidR="009E712D">
        <w:rPr>
          <w:rFonts w:ascii="Calibri" w:hAnsi="Calibri"/>
          <w:sz w:val="24"/>
          <w:szCs w:val="24"/>
        </w:rPr>
        <w:t xml:space="preserve"> OAAs </w:t>
      </w:r>
      <w:r>
        <w:rPr>
          <w:rFonts w:ascii="Calibri" w:hAnsi="Calibri"/>
          <w:sz w:val="24"/>
          <w:szCs w:val="24"/>
        </w:rPr>
        <w:t>(</w:t>
      </w:r>
      <w:r w:rsidR="009E712D">
        <w:rPr>
          <w:rFonts w:ascii="Calibri" w:hAnsi="Calibri"/>
          <w:sz w:val="24"/>
          <w:szCs w:val="24"/>
        </w:rPr>
        <w:t>consisting of content representing Ohio’s previous academic standards and Common Core</w:t>
      </w:r>
      <w:r w:rsidR="007224C0">
        <w:rPr>
          <w:rFonts w:ascii="Calibri" w:hAnsi="Calibri"/>
          <w:sz w:val="24"/>
          <w:szCs w:val="24"/>
        </w:rPr>
        <w:t>)</w:t>
      </w:r>
      <w:r w:rsidR="007D2B33">
        <w:rPr>
          <w:rFonts w:ascii="Calibri" w:hAnsi="Calibri"/>
          <w:sz w:val="24"/>
          <w:szCs w:val="24"/>
        </w:rPr>
        <w:t>.</w:t>
      </w:r>
      <w:r w:rsidR="007224C0">
        <w:rPr>
          <w:rFonts w:ascii="Calibri" w:hAnsi="Calibri"/>
          <w:sz w:val="24"/>
          <w:szCs w:val="24"/>
        </w:rPr>
        <w:t>*</w:t>
      </w:r>
    </w:p>
    <w:p w:rsidR="009E712D" w:rsidRDefault="007224C0" w:rsidP="009E712D">
      <w:pPr>
        <w:pStyle w:val="ListParagraph"/>
        <w:numPr>
          <w:ilvl w:val="0"/>
          <w:numId w:val="7"/>
        </w:numPr>
        <w:textAlignment w:val="top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Shared Attribution</w:t>
      </w:r>
      <w:r w:rsidR="00AD7AD3">
        <w:rPr>
          <w:rFonts w:ascii="Calibri" w:hAnsi="Calibri"/>
          <w:sz w:val="24"/>
          <w:szCs w:val="24"/>
        </w:rPr>
        <w:t xml:space="preserve"> – a</w:t>
      </w:r>
      <w:r>
        <w:rPr>
          <w:rFonts w:ascii="Calibri" w:hAnsi="Calibri"/>
          <w:sz w:val="24"/>
          <w:szCs w:val="24"/>
        </w:rPr>
        <w:t xml:space="preserve"> </w:t>
      </w:r>
      <w:r w:rsidR="009E712D"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>esignated Value Added resulting from the Spri</w:t>
      </w:r>
      <w:r w:rsidR="00AD7AD3">
        <w:rPr>
          <w:rFonts w:ascii="Calibri" w:hAnsi="Calibri"/>
          <w:sz w:val="24"/>
          <w:szCs w:val="24"/>
        </w:rPr>
        <w:t>ng 2014 State Assessments data</w:t>
      </w:r>
      <w:r w:rsidR="00694E5A">
        <w:rPr>
          <w:rFonts w:ascii="Calibri" w:hAnsi="Calibri"/>
          <w:sz w:val="24"/>
          <w:szCs w:val="24"/>
        </w:rPr>
        <w:t xml:space="preserve"> </w:t>
      </w:r>
      <w:r w:rsidR="00694E5A" w:rsidRPr="001B78FA">
        <w:rPr>
          <w:rFonts w:ascii="Calibri" w:hAnsi="Calibri"/>
          <w:i/>
          <w:sz w:val="24"/>
          <w:szCs w:val="24"/>
        </w:rPr>
        <w:t>potentially district wide</w:t>
      </w:r>
      <w:r w:rsidR="00AD7AD3">
        <w:rPr>
          <w:rFonts w:ascii="Calibri" w:hAnsi="Calibri"/>
          <w:i/>
          <w:sz w:val="24"/>
          <w:szCs w:val="24"/>
        </w:rPr>
        <w:t>,</w:t>
      </w:r>
      <w:r w:rsidR="00694E5A" w:rsidRPr="001B78FA">
        <w:rPr>
          <w:rFonts w:ascii="Calibri" w:hAnsi="Calibri"/>
          <w:i/>
          <w:sz w:val="24"/>
          <w:szCs w:val="24"/>
        </w:rPr>
        <w:t xml:space="preserve"> all category of teachers</w:t>
      </w:r>
      <w:r w:rsidR="00AD7AD3">
        <w:rPr>
          <w:rFonts w:ascii="Calibri" w:hAnsi="Calibri"/>
          <w:i/>
          <w:sz w:val="24"/>
          <w:szCs w:val="24"/>
        </w:rPr>
        <w:t>.</w:t>
      </w:r>
      <w:r w:rsidR="001B78FA">
        <w:rPr>
          <w:rFonts w:ascii="Calibri" w:hAnsi="Calibri"/>
          <w:sz w:val="24"/>
          <w:szCs w:val="24"/>
        </w:rPr>
        <w:t xml:space="preserve"> </w:t>
      </w:r>
    </w:p>
    <w:p w:rsidR="002668B7" w:rsidRDefault="002668B7" w:rsidP="007224C0">
      <w:pPr>
        <w:textAlignment w:val="top"/>
        <w:rPr>
          <w:rFonts w:ascii="Calibri" w:hAnsi="Calibri"/>
          <w:sz w:val="24"/>
          <w:szCs w:val="24"/>
        </w:rPr>
      </w:pPr>
    </w:p>
    <w:p w:rsidR="002668B7" w:rsidRDefault="00731596" w:rsidP="007224C0">
      <w:pPr>
        <w:textAlignment w:val="top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indication within eTPES that t</w:t>
      </w:r>
      <w:r w:rsidR="002668B7">
        <w:rPr>
          <w:rFonts w:ascii="Calibri" w:hAnsi="Calibri"/>
          <w:sz w:val="24"/>
          <w:szCs w:val="24"/>
        </w:rPr>
        <w:t xml:space="preserve">hese </w:t>
      </w:r>
      <w:r w:rsidR="0029679F">
        <w:rPr>
          <w:rFonts w:ascii="Calibri" w:hAnsi="Calibri"/>
          <w:sz w:val="24"/>
          <w:szCs w:val="24"/>
        </w:rPr>
        <w:t xml:space="preserve">current </w:t>
      </w:r>
      <w:r>
        <w:rPr>
          <w:rFonts w:ascii="Calibri" w:hAnsi="Calibri"/>
          <w:sz w:val="24"/>
          <w:szCs w:val="24"/>
        </w:rPr>
        <w:t xml:space="preserve">improvement plans are required </w:t>
      </w:r>
      <w:r w:rsidRPr="001B3CDD">
        <w:rPr>
          <w:rFonts w:ascii="Calibri" w:hAnsi="Calibri"/>
          <w:b/>
          <w:sz w:val="24"/>
          <w:szCs w:val="24"/>
          <w:u w:val="single"/>
        </w:rPr>
        <w:t>will not change</w:t>
      </w:r>
      <w:r w:rsidR="001B3CDD">
        <w:rPr>
          <w:rFonts w:ascii="Calibri" w:hAnsi="Calibri"/>
          <w:sz w:val="24"/>
          <w:szCs w:val="24"/>
        </w:rPr>
        <w:t xml:space="preserve">. This is </w:t>
      </w:r>
      <w:r>
        <w:rPr>
          <w:rFonts w:ascii="Calibri" w:hAnsi="Calibri"/>
          <w:sz w:val="24"/>
          <w:szCs w:val="24"/>
        </w:rPr>
        <w:t xml:space="preserve">based </w:t>
      </w:r>
      <w:r w:rsidR="002668B7">
        <w:rPr>
          <w:rFonts w:ascii="Calibri" w:hAnsi="Calibri"/>
          <w:sz w:val="24"/>
          <w:szCs w:val="24"/>
        </w:rPr>
        <w:t>upon the following Department of Education policy</w:t>
      </w:r>
      <w:r w:rsidR="001B3CDD">
        <w:rPr>
          <w:rFonts w:ascii="Calibri" w:hAnsi="Calibri"/>
          <w:sz w:val="24"/>
          <w:szCs w:val="24"/>
        </w:rPr>
        <w:t xml:space="preserve"> and </w:t>
      </w:r>
      <w:r w:rsidR="00AD7AD3">
        <w:rPr>
          <w:rFonts w:ascii="Calibri" w:hAnsi="Calibri"/>
          <w:sz w:val="24"/>
          <w:szCs w:val="24"/>
        </w:rPr>
        <w:t xml:space="preserve">Ohio </w:t>
      </w:r>
      <w:r w:rsidR="001B3CDD">
        <w:rPr>
          <w:rFonts w:ascii="Calibri" w:hAnsi="Calibri"/>
          <w:sz w:val="24"/>
          <w:szCs w:val="24"/>
        </w:rPr>
        <w:t>law</w:t>
      </w:r>
      <w:r w:rsidR="002668B7">
        <w:rPr>
          <w:rFonts w:ascii="Calibri" w:hAnsi="Calibri"/>
          <w:sz w:val="24"/>
          <w:szCs w:val="24"/>
        </w:rPr>
        <w:t xml:space="preserve">: </w:t>
      </w:r>
    </w:p>
    <w:p w:rsidR="002668B7" w:rsidRDefault="002668B7" w:rsidP="007224C0">
      <w:pPr>
        <w:textAlignment w:val="top"/>
        <w:rPr>
          <w:rFonts w:ascii="Calibri" w:hAnsi="Calibri"/>
          <w:sz w:val="24"/>
          <w:szCs w:val="24"/>
        </w:rPr>
      </w:pPr>
    </w:p>
    <w:p w:rsidR="002668B7" w:rsidRDefault="002668B7" w:rsidP="002668B7">
      <w:pPr>
        <w:pStyle w:val="ListParagraph"/>
        <w:numPr>
          <w:ilvl w:val="0"/>
          <w:numId w:val="7"/>
        </w:numPr>
        <w:textAlignment w:val="top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</w:t>
      </w:r>
      <w:r w:rsidR="00AD7AD3">
        <w:rPr>
          <w:rFonts w:ascii="Calibri" w:hAnsi="Calibri"/>
          <w:sz w:val="24"/>
          <w:szCs w:val="24"/>
        </w:rPr>
        <w:t>plans were based upon the OTES f</w:t>
      </w:r>
      <w:r>
        <w:rPr>
          <w:rFonts w:ascii="Calibri" w:hAnsi="Calibri"/>
          <w:sz w:val="24"/>
          <w:szCs w:val="24"/>
        </w:rPr>
        <w:t xml:space="preserve">ramework </w:t>
      </w:r>
      <w:r w:rsidR="007A3127">
        <w:rPr>
          <w:rFonts w:ascii="Calibri" w:hAnsi="Calibri"/>
          <w:sz w:val="24"/>
          <w:szCs w:val="24"/>
        </w:rPr>
        <w:t>in existence</w:t>
      </w:r>
      <w:r w:rsidR="00731596">
        <w:rPr>
          <w:rFonts w:ascii="Calibri" w:hAnsi="Calibri"/>
          <w:sz w:val="24"/>
          <w:szCs w:val="24"/>
        </w:rPr>
        <w:t xml:space="preserve"> at t</w:t>
      </w:r>
      <w:r w:rsidR="00AD7AD3">
        <w:rPr>
          <w:rFonts w:ascii="Calibri" w:hAnsi="Calibri"/>
          <w:sz w:val="24"/>
          <w:szCs w:val="24"/>
        </w:rPr>
        <w:t>he conclusion of the 2014-2015 evaluation c</w:t>
      </w:r>
      <w:r w:rsidR="00731596">
        <w:rPr>
          <w:rFonts w:ascii="Calibri" w:hAnsi="Calibri"/>
          <w:sz w:val="24"/>
          <w:szCs w:val="24"/>
        </w:rPr>
        <w:t>ycle</w:t>
      </w:r>
      <w:r w:rsidR="00AD7AD3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which allowed for SGM</w:t>
      </w:r>
      <w:r w:rsidR="00AD7AD3">
        <w:rPr>
          <w:rFonts w:ascii="Calibri" w:hAnsi="Calibri"/>
          <w:sz w:val="24"/>
          <w:szCs w:val="24"/>
        </w:rPr>
        <w:t xml:space="preserve"> triggered improvement plans.  This is evidenced by pages 12 and </w:t>
      </w:r>
      <w:r>
        <w:rPr>
          <w:rFonts w:ascii="Calibri" w:hAnsi="Calibri"/>
          <w:sz w:val="24"/>
          <w:szCs w:val="24"/>
        </w:rPr>
        <w:t xml:space="preserve">13 within the </w:t>
      </w:r>
      <w:r w:rsidRPr="00AD7AD3">
        <w:rPr>
          <w:rFonts w:ascii="Calibri" w:hAnsi="Calibri"/>
          <w:sz w:val="24"/>
          <w:szCs w:val="24"/>
        </w:rPr>
        <w:t>National Institute for Excellence in Teaching (NIET)</w:t>
      </w:r>
      <w:r>
        <w:rPr>
          <w:rFonts w:ascii="Calibri" w:hAnsi="Calibri"/>
          <w:sz w:val="24"/>
          <w:szCs w:val="24"/>
        </w:rPr>
        <w:t xml:space="preserve"> document entitled </w:t>
      </w:r>
      <w:r w:rsidRPr="00AD7AD3">
        <w:rPr>
          <w:rFonts w:ascii="Calibri" w:hAnsi="Calibri"/>
          <w:sz w:val="24"/>
          <w:szCs w:val="24"/>
          <w:u w:val="single"/>
        </w:rPr>
        <w:t>Ohio Teacher Evaluation System (OTES) Training Workbook</w:t>
      </w:r>
      <w:r w:rsidR="00AD7AD3" w:rsidRPr="00AD7AD3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i/>
          <w:sz w:val="24"/>
          <w:szCs w:val="24"/>
        </w:rPr>
        <w:t xml:space="preserve"> </w:t>
      </w:r>
      <w:r w:rsidR="001B3CDD">
        <w:rPr>
          <w:rFonts w:ascii="Calibri" w:hAnsi="Calibri"/>
          <w:sz w:val="24"/>
          <w:szCs w:val="24"/>
        </w:rPr>
        <w:t>published in April of 2012:</w:t>
      </w:r>
      <w:r>
        <w:rPr>
          <w:rFonts w:ascii="Calibri" w:hAnsi="Calibri"/>
          <w:sz w:val="24"/>
          <w:szCs w:val="24"/>
        </w:rPr>
        <w:t xml:space="preserve"> </w:t>
      </w:r>
    </w:p>
    <w:p w:rsidR="002668B7" w:rsidRDefault="002668B7" w:rsidP="002668B7">
      <w:pPr>
        <w:pStyle w:val="ListParagraph"/>
        <w:textAlignment w:val="top"/>
        <w:rPr>
          <w:rFonts w:ascii="Calibri" w:hAnsi="Calibri"/>
          <w:sz w:val="24"/>
          <w:szCs w:val="24"/>
        </w:rPr>
      </w:pPr>
    </w:p>
    <w:p w:rsidR="002668B7" w:rsidRDefault="002668B7" w:rsidP="00AD7AD3">
      <w:pPr>
        <w:ind w:left="1080" w:right="990"/>
        <w:textAlignment w:val="top"/>
        <w:rPr>
          <w:rFonts w:ascii="Calibri" w:hAnsi="Calibri"/>
          <w:i/>
          <w:sz w:val="24"/>
          <w:szCs w:val="24"/>
        </w:rPr>
      </w:pPr>
      <w:r w:rsidRPr="002668B7">
        <w:rPr>
          <w:rFonts w:ascii="Calibri" w:hAnsi="Calibri"/>
          <w:sz w:val="24"/>
          <w:szCs w:val="24"/>
        </w:rPr>
        <w:t>…</w:t>
      </w:r>
      <w:r w:rsidRPr="002668B7">
        <w:rPr>
          <w:rFonts w:ascii="Calibri" w:hAnsi="Calibri"/>
          <w:i/>
          <w:sz w:val="24"/>
          <w:szCs w:val="24"/>
        </w:rPr>
        <w:t>a Professional Growth Plan or an Improvement Plan is based on</w:t>
      </w:r>
      <w:r w:rsidR="00731596">
        <w:rPr>
          <w:rFonts w:ascii="Calibri" w:hAnsi="Calibri"/>
          <w:i/>
          <w:sz w:val="24"/>
          <w:szCs w:val="24"/>
        </w:rPr>
        <w:t xml:space="preserve"> Student G</w:t>
      </w:r>
      <w:r w:rsidRPr="002668B7">
        <w:rPr>
          <w:rFonts w:ascii="Calibri" w:hAnsi="Calibri"/>
          <w:i/>
          <w:sz w:val="24"/>
          <w:szCs w:val="24"/>
        </w:rPr>
        <w:t>rowth Measures as designated on the Summative Evaluation Ma</w:t>
      </w:r>
      <w:r w:rsidR="00731596">
        <w:rPr>
          <w:rFonts w:ascii="Calibri" w:hAnsi="Calibri"/>
          <w:i/>
          <w:sz w:val="24"/>
          <w:szCs w:val="24"/>
        </w:rPr>
        <w:t>trix</w:t>
      </w:r>
      <w:r w:rsidRPr="002668B7">
        <w:rPr>
          <w:rFonts w:ascii="Calibri" w:hAnsi="Calibri"/>
          <w:i/>
          <w:sz w:val="24"/>
          <w:szCs w:val="24"/>
        </w:rPr>
        <w:t xml:space="preserve"> and/or performance on the standards as noted in the teacher </w:t>
      </w:r>
      <w:r>
        <w:rPr>
          <w:rFonts w:ascii="Calibri" w:hAnsi="Calibri"/>
          <w:i/>
          <w:sz w:val="24"/>
          <w:szCs w:val="24"/>
        </w:rPr>
        <w:t>performance rubric…</w:t>
      </w:r>
    </w:p>
    <w:p w:rsidR="002668B7" w:rsidRDefault="002668B7" w:rsidP="002668B7">
      <w:pPr>
        <w:textAlignment w:val="top"/>
        <w:rPr>
          <w:rFonts w:ascii="Calibri" w:hAnsi="Calibri"/>
          <w:i/>
          <w:sz w:val="24"/>
          <w:szCs w:val="24"/>
        </w:rPr>
      </w:pPr>
    </w:p>
    <w:p w:rsidR="002668B7" w:rsidRDefault="007D2B33" w:rsidP="00AD7AD3">
      <w:pPr>
        <w:ind w:left="720"/>
        <w:textAlignment w:val="top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2668B7">
        <w:rPr>
          <w:rFonts w:ascii="Calibri" w:hAnsi="Calibri"/>
          <w:sz w:val="24"/>
          <w:szCs w:val="24"/>
        </w:rPr>
        <w:t>nd</w:t>
      </w:r>
      <w:r>
        <w:rPr>
          <w:rFonts w:ascii="Calibri" w:hAnsi="Calibri"/>
          <w:sz w:val="24"/>
          <w:szCs w:val="24"/>
        </w:rPr>
        <w:t>,</w:t>
      </w:r>
      <w:r w:rsidR="002668B7">
        <w:rPr>
          <w:rFonts w:ascii="Calibri" w:hAnsi="Calibri"/>
          <w:sz w:val="24"/>
          <w:szCs w:val="24"/>
        </w:rPr>
        <w:t xml:space="preserve"> on page 13</w:t>
      </w:r>
      <w:r>
        <w:rPr>
          <w:rFonts w:ascii="Calibri" w:hAnsi="Calibri"/>
          <w:sz w:val="24"/>
          <w:szCs w:val="24"/>
        </w:rPr>
        <w:t>:</w:t>
      </w:r>
    </w:p>
    <w:p w:rsidR="002668B7" w:rsidRDefault="002668B7" w:rsidP="002668B7">
      <w:pPr>
        <w:textAlignment w:val="top"/>
        <w:rPr>
          <w:rFonts w:ascii="Calibri" w:hAnsi="Calibri"/>
          <w:sz w:val="24"/>
          <w:szCs w:val="24"/>
        </w:rPr>
      </w:pPr>
    </w:p>
    <w:p w:rsidR="002668B7" w:rsidRPr="00AD7AD3" w:rsidRDefault="00024ED3" w:rsidP="00AD7AD3">
      <w:pPr>
        <w:ind w:left="1080" w:right="990"/>
        <w:textAlignment w:val="top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…</w:t>
      </w:r>
      <w:r w:rsidR="002668B7" w:rsidRPr="00AD7AD3">
        <w:rPr>
          <w:rFonts w:ascii="Calibri" w:hAnsi="Calibri"/>
          <w:i/>
          <w:sz w:val="24"/>
          <w:szCs w:val="24"/>
        </w:rPr>
        <w:t>Improvement Plans are developed for a teacher b</w:t>
      </w:r>
      <w:r w:rsidR="005D5BEF">
        <w:rPr>
          <w:rFonts w:ascii="Calibri" w:hAnsi="Calibri"/>
          <w:i/>
          <w:sz w:val="24"/>
          <w:szCs w:val="24"/>
        </w:rPr>
        <w:t>y the evaluator in response to in</w:t>
      </w:r>
      <w:r w:rsidR="002668B7" w:rsidRPr="00AD7AD3">
        <w:rPr>
          <w:rFonts w:ascii="Calibri" w:hAnsi="Calibri"/>
          <w:i/>
          <w:sz w:val="24"/>
          <w:szCs w:val="24"/>
        </w:rPr>
        <w:t>effective ratings in performance and/or student growth.</w:t>
      </w:r>
    </w:p>
    <w:p w:rsidR="002668B7" w:rsidRDefault="002668B7" w:rsidP="00AD7AD3">
      <w:pPr>
        <w:ind w:left="1080" w:right="990"/>
        <w:textAlignment w:val="top"/>
        <w:rPr>
          <w:rFonts w:ascii="Calibri" w:hAnsi="Calibri"/>
          <w:sz w:val="24"/>
          <w:szCs w:val="24"/>
        </w:rPr>
      </w:pPr>
    </w:p>
    <w:p w:rsidR="00AD7AD3" w:rsidRDefault="00AD7AD3" w:rsidP="002668B7">
      <w:pPr>
        <w:textAlignment w:val="top"/>
        <w:rPr>
          <w:rFonts w:ascii="Calibri" w:hAnsi="Calibri"/>
          <w:sz w:val="24"/>
          <w:szCs w:val="24"/>
        </w:rPr>
      </w:pPr>
    </w:p>
    <w:p w:rsidR="007D2B33" w:rsidRDefault="007D2B33" w:rsidP="002668B7">
      <w:pPr>
        <w:textAlignment w:val="top"/>
        <w:rPr>
          <w:rFonts w:ascii="Calibri" w:hAnsi="Calibri"/>
          <w:sz w:val="24"/>
          <w:szCs w:val="24"/>
        </w:rPr>
      </w:pPr>
    </w:p>
    <w:p w:rsidR="00AD7AD3" w:rsidRDefault="00AD7AD3" w:rsidP="002668B7">
      <w:pPr>
        <w:textAlignment w:val="top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*In the spring of 2014, the academic standards included only ELA and Math.</w:t>
      </w:r>
      <w:r>
        <w:rPr>
          <w:rFonts w:ascii="Calibri" w:hAnsi="Calibri"/>
          <w:sz w:val="24"/>
          <w:szCs w:val="24"/>
        </w:rPr>
        <w:br w:type="page"/>
      </w:r>
    </w:p>
    <w:p w:rsidR="007A3127" w:rsidRDefault="00731596" w:rsidP="002668B7">
      <w:pPr>
        <w:textAlignment w:val="top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Furthermore,</w:t>
      </w:r>
      <w:r w:rsidR="001B3CDD">
        <w:rPr>
          <w:rFonts w:ascii="Calibri" w:hAnsi="Calibri"/>
          <w:sz w:val="24"/>
          <w:szCs w:val="24"/>
        </w:rPr>
        <w:t xml:space="preserve"> as evident in law:</w:t>
      </w:r>
      <w:r>
        <w:rPr>
          <w:rFonts w:ascii="Calibri" w:hAnsi="Calibri"/>
          <w:sz w:val="24"/>
          <w:szCs w:val="24"/>
        </w:rPr>
        <w:t xml:space="preserve"> </w:t>
      </w:r>
    </w:p>
    <w:p w:rsidR="00731596" w:rsidRDefault="00731596" w:rsidP="002668B7">
      <w:pPr>
        <w:textAlignment w:val="top"/>
        <w:rPr>
          <w:rFonts w:ascii="Calibri" w:hAnsi="Calibri"/>
          <w:sz w:val="24"/>
          <w:szCs w:val="24"/>
        </w:rPr>
      </w:pPr>
    </w:p>
    <w:p w:rsidR="007A3127" w:rsidRDefault="007A3127" w:rsidP="007A3127">
      <w:pPr>
        <w:pStyle w:val="ListParagraph"/>
        <w:numPr>
          <w:ilvl w:val="0"/>
          <w:numId w:val="7"/>
        </w:numPr>
        <w:textAlignment w:val="top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data used to trigger said plans </w:t>
      </w:r>
      <w:r w:rsidR="007579CB">
        <w:rPr>
          <w:rFonts w:ascii="Calibri" w:hAnsi="Calibri"/>
          <w:sz w:val="24"/>
          <w:szCs w:val="24"/>
        </w:rPr>
        <w:t xml:space="preserve">for A1 and/or A2 teachers </w:t>
      </w:r>
      <w:r>
        <w:rPr>
          <w:rFonts w:ascii="Calibri" w:hAnsi="Calibri"/>
          <w:sz w:val="24"/>
          <w:szCs w:val="24"/>
        </w:rPr>
        <w:t>is n</w:t>
      </w:r>
      <w:r w:rsidR="007D2B33">
        <w:rPr>
          <w:rFonts w:ascii="Calibri" w:hAnsi="Calibri"/>
          <w:sz w:val="24"/>
          <w:szCs w:val="24"/>
        </w:rPr>
        <w:t>ot included within Safe Harbor L</w:t>
      </w:r>
      <w:r>
        <w:rPr>
          <w:rFonts w:ascii="Calibri" w:hAnsi="Calibri"/>
          <w:sz w:val="24"/>
          <w:szCs w:val="24"/>
        </w:rPr>
        <w:t xml:space="preserve">aw </w:t>
      </w:r>
      <w:r w:rsidR="00731596">
        <w:rPr>
          <w:rFonts w:ascii="Calibri" w:hAnsi="Calibri"/>
          <w:sz w:val="24"/>
          <w:szCs w:val="24"/>
        </w:rPr>
        <w:t xml:space="preserve">–HB 74 </w:t>
      </w:r>
      <w:r w:rsidR="001B3CDD">
        <w:rPr>
          <w:rFonts w:ascii="Calibri" w:hAnsi="Calibri"/>
          <w:sz w:val="24"/>
          <w:szCs w:val="24"/>
        </w:rPr>
        <w:t>(August 2015)</w:t>
      </w:r>
      <w:r w:rsidR="007D2B33">
        <w:rPr>
          <w:rFonts w:ascii="Calibri" w:hAnsi="Calibri"/>
          <w:sz w:val="24"/>
          <w:szCs w:val="24"/>
        </w:rPr>
        <w:t>,</w:t>
      </w:r>
      <w:r w:rsidR="001B3CDD">
        <w:rPr>
          <w:rFonts w:ascii="Calibri" w:hAnsi="Calibri"/>
          <w:sz w:val="24"/>
          <w:szCs w:val="24"/>
        </w:rPr>
        <w:t xml:space="preserve"> </w:t>
      </w:r>
      <w:r w:rsidR="00731596">
        <w:rPr>
          <w:rFonts w:ascii="Calibri" w:hAnsi="Calibri"/>
          <w:sz w:val="24"/>
          <w:szCs w:val="24"/>
        </w:rPr>
        <w:t>which only includes</w:t>
      </w:r>
      <w:r w:rsidR="007D2B33">
        <w:rPr>
          <w:rFonts w:ascii="Calibri" w:hAnsi="Calibri"/>
          <w:sz w:val="24"/>
          <w:szCs w:val="24"/>
        </w:rPr>
        <w:t xml:space="preserve">:  </w:t>
      </w:r>
      <w:r>
        <w:rPr>
          <w:rFonts w:ascii="Calibri" w:hAnsi="Calibri"/>
          <w:sz w:val="24"/>
          <w:szCs w:val="24"/>
        </w:rPr>
        <w:t>…</w:t>
      </w:r>
      <w:r w:rsidRPr="007A3127">
        <w:rPr>
          <w:rFonts w:ascii="Calibri" w:hAnsi="Calibri"/>
          <w:i/>
          <w:sz w:val="24"/>
          <w:szCs w:val="24"/>
        </w:rPr>
        <w:t>data from state assessments in 2015-2016 and 2016-2017.</w:t>
      </w:r>
      <w:r>
        <w:rPr>
          <w:rFonts w:ascii="Calibri" w:hAnsi="Calibri"/>
          <w:sz w:val="24"/>
          <w:szCs w:val="24"/>
        </w:rPr>
        <w:t xml:space="preserve"> </w:t>
      </w:r>
      <w:r w:rsidR="007579CB">
        <w:rPr>
          <w:rFonts w:ascii="Calibri" w:hAnsi="Calibri"/>
          <w:sz w:val="24"/>
          <w:szCs w:val="24"/>
        </w:rPr>
        <w:t xml:space="preserve"> </w:t>
      </w:r>
    </w:p>
    <w:p w:rsidR="007579CB" w:rsidRDefault="007579CB" w:rsidP="007579CB">
      <w:pPr>
        <w:textAlignment w:val="top"/>
        <w:rPr>
          <w:rFonts w:ascii="Calibri" w:hAnsi="Calibri"/>
          <w:sz w:val="24"/>
          <w:szCs w:val="24"/>
        </w:rPr>
      </w:pPr>
    </w:p>
    <w:p w:rsidR="007579CB" w:rsidRDefault="007579CB" w:rsidP="007579CB">
      <w:pPr>
        <w:pStyle w:val="ListParagraph"/>
        <w:numPr>
          <w:ilvl w:val="0"/>
          <w:numId w:val="7"/>
        </w:numPr>
        <w:textAlignment w:val="top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Safe Harbor from HB 362 (September 2014) specifically</w:t>
      </w:r>
      <w:r w:rsidR="00731596">
        <w:rPr>
          <w:rFonts w:ascii="Calibri" w:hAnsi="Calibri"/>
          <w:sz w:val="24"/>
          <w:szCs w:val="24"/>
        </w:rPr>
        <w:t xml:space="preserve"> reinforced legislative expectations for</w:t>
      </w:r>
      <w:r>
        <w:rPr>
          <w:rFonts w:ascii="Calibri" w:hAnsi="Calibri"/>
          <w:sz w:val="24"/>
          <w:szCs w:val="24"/>
        </w:rPr>
        <w:t xml:space="preserve"> student growth measures</w:t>
      </w:r>
      <w:r w:rsidR="007D2B33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ORC</w:t>
      </w:r>
      <w:r w:rsidR="007D2B33">
        <w:rPr>
          <w:rFonts w:ascii="Calibri" w:hAnsi="Calibri"/>
          <w:sz w:val="24"/>
          <w:szCs w:val="24"/>
        </w:rPr>
        <w:t xml:space="preserve"> 3319.111:  …</w:t>
      </w:r>
      <w:r w:rsidRPr="007579CB">
        <w:rPr>
          <w:rFonts w:ascii="Calibri" w:hAnsi="Calibri"/>
          <w:i/>
          <w:sz w:val="24"/>
          <w:szCs w:val="24"/>
        </w:rPr>
        <w:t>so long as the teacher's student academic growth measure, for the most recent school year for which data is available, is average or higher,</w:t>
      </w:r>
      <w:r>
        <w:rPr>
          <w:rFonts w:ascii="Calibri" w:hAnsi="Calibri"/>
          <w:i/>
          <w:sz w:val="24"/>
          <w:szCs w:val="24"/>
        </w:rPr>
        <w:t>[at or above expected]</w:t>
      </w:r>
      <w:r w:rsidRPr="007579CB">
        <w:rPr>
          <w:rFonts w:ascii="Calibri" w:hAnsi="Calibri"/>
          <w:i/>
          <w:sz w:val="24"/>
          <w:szCs w:val="24"/>
        </w:rPr>
        <w:t xml:space="preserve"> as determined by the department of education. </w:t>
      </w:r>
    </w:p>
    <w:p w:rsidR="00731596" w:rsidRPr="00731596" w:rsidRDefault="00731596" w:rsidP="00731596">
      <w:pPr>
        <w:pStyle w:val="ListParagraph"/>
        <w:rPr>
          <w:rFonts w:ascii="Calibri" w:hAnsi="Calibri"/>
          <w:i/>
          <w:sz w:val="24"/>
          <w:szCs w:val="24"/>
        </w:rPr>
      </w:pPr>
    </w:p>
    <w:p w:rsidR="00731596" w:rsidRDefault="003744BB" w:rsidP="003744BB">
      <w:pPr>
        <w:textAlignment w:val="top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</w:t>
      </w:r>
      <w:r w:rsidR="00F15849">
        <w:rPr>
          <w:rFonts w:ascii="Calibri" w:hAnsi="Calibri"/>
          <w:sz w:val="24"/>
          <w:szCs w:val="24"/>
        </w:rPr>
        <w:t>wever</w:t>
      </w:r>
      <w:r w:rsidR="007D2B33">
        <w:rPr>
          <w:rFonts w:ascii="Calibri" w:hAnsi="Calibri"/>
          <w:sz w:val="24"/>
          <w:szCs w:val="24"/>
        </w:rPr>
        <w:t>,</w:t>
      </w:r>
      <w:r w:rsidR="00F15849">
        <w:rPr>
          <w:rFonts w:ascii="Calibri" w:hAnsi="Calibri"/>
          <w:sz w:val="24"/>
          <w:szCs w:val="24"/>
        </w:rPr>
        <w:t xml:space="preserve"> three</w:t>
      </w:r>
      <w:r>
        <w:rPr>
          <w:rFonts w:ascii="Calibri" w:hAnsi="Calibri"/>
          <w:sz w:val="24"/>
          <w:szCs w:val="24"/>
        </w:rPr>
        <w:t xml:space="preserve"> critical points should be considered regarding improvement plans triggered in this manner:</w:t>
      </w:r>
    </w:p>
    <w:p w:rsidR="003744BB" w:rsidRDefault="003744BB" w:rsidP="003744BB">
      <w:pPr>
        <w:textAlignment w:val="top"/>
        <w:rPr>
          <w:rFonts w:ascii="Calibri" w:hAnsi="Calibri"/>
          <w:sz w:val="24"/>
          <w:szCs w:val="24"/>
        </w:rPr>
      </w:pPr>
    </w:p>
    <w:p w:rsidR="007A1D80" w:rsidRDefault="007A1D80" w:rsidP="007A1D80">
      <w:pPr>
        <w:pStyle w:val="ListParagraph"/>
        <w:numPr>
          <w:ilvl w:val="0"/>
          <w:numId w:val="9"/>
        </w:numPr>
        <w:textAlignment w:val="top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Said plans should be created and supported in adherence to the state Professional Development Standards</w:t>
      </w:r>
      <w:r w:rsidR="007D2B33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hyperlink r:id="rId8" w:history="1">
        <w:r w:rsidRPr="00AE071F">
          <w:rPr>
            <w:rStyle w:val="Hyperlink"/>
            <w:rFonts w:ascii="Calibri" w:hAnsi="Calibri"/>
            <w:sz w:val="24"/>
            <w:szCs w:val="24"/>
          </w:rPr>
          <w:t>http://education.ohio.gov/getattachment/Topics/Teaching/Educator-Equity/Ohio-s-Educator-Standards/Finalstandards-professional-development_FINAL-1.pdf.aspx</w:t>
        </w:r>
      </w:hyperlink>
      <w:r w:rsidR="007D2B33">
        <w:rPr>
          <w:rStyle w:val="Hyperlink"/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which </w:t>
      </w:r>
      <w:r w:rsidR="005D5BEF">
        <w:rPr>
          <w:rFonts w:ascii="Calibri" w:hAnsi="Calibri"/>
          <w:sz w:val="24"/>
          <w:szCs w:val="24"/>
        </w:rPr>
        <w:t>were</w:t>
      </w:r>
      <w:r>
        <w:rPr>
          <w:rFonts w:ascii="Calibri" w:hAnsi="Calibri"/>
          <w:sz w:val="24"/>
          <w:szCs w:val="24"/>
        </w:rPr>
        <w:t xml:space="preserve"> approved by the </w:t>
      </w:r>
      <w:r w:rsidR="005D5BEF"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 xml:space="preserve">SBOE </w:t>
      </w:r>
      <w:r w:rsidR="005D5BEF">
        <w:rPr>
          <w:rFonts w:ascii="Calibri" w:hAnsi="Calibri"/>
          <w:sz w:val="24"/>
          <w:szCs w:val="24"/>
        </w:rPr>
        <w:t xml:space="preserve">(April 2015) </w:t>
      </w:r>
      <w:r>
        <w:rPr>
          <w:rFonts w:ascii="Calibri" w:hAnsi="Calibri"/>
          <w:sz w:val="24"/>
          <w:szCs w:val="24"/>
        </w:rPr>
        <w:t xml:space="preserve">and stem from HB 2. </w:t>
      </w:r>
      <w:r w:rsidR="00553974">
        <w:rPr>
          <w:rFonts w:ascii="Calibri" w:hAnsi="Calibri"/>
          <w:sz w:val="24"/>
          <w:szCs w:val="24"/>
        </w:rPr>
        <w:t xml:space="preserve"> OEA has tools and training to ensure members, </w:t>
      </w:r>
      <w:r w:rsidR="005D5BEF">
        <w:rPr>
          <w:rFonts w:ascii="Calibri" w:hAnsi="Calibri"/>
          <w:sz w:val="24"/>
          <w:szCs w:val="24"/>
        </w:rPr>
        <w:t>if</w:t>
      </w:r>
      <w:r w:rsidR="00553974">
        <w:rPr>
          <w:rFonts w:ascii="Calibri" w:hAnsi="Calibri"/>
          <w:sz w:val="24"/>
          <w:szCs w:val="24"/>
        </w:rPr>
        <w:t xml:space="preserve"> necessary, receive a quality safety net in the form of improvement plans. </w:t>
      </w:r>
    </w:p>
    <w:p w:rsidR="007A1D80" w:rsidRDefault="007A1D80" w:rsidP="007A1D80">
      <w:pPr>
        <w:pStyle w:val="ListParagraph"/>
        <w:textAlignment w:val="top"/>
        <w:rPr>
          <w:rFonts w:ascii="Calibri" w:hAnsi="Calibri"/>
          <w:sz w:val="24"/>
          <w:szCs w:val="24"/>
        </w:rPr>
      </w:pPr>
    </w:p>
    <w:p w:rsidR="007579CB" w:rsidRDefault="007A1D80" w:rsidP="00FD47AD">
      <w:pPr>
        <w:pStyle w:val="ListParagraph"/>
        <w:numPr>
          <w:ilvl w:val="0"/>
          <w:numId w:val="9"/>
        </w:numPr>
        <w:textAlignment w:val="top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eTPES will require different </w:t>
      </w:r>
      <w:r w:rsidR="001B3CDD">
        <w:rPr>
          <w:rFonts w:ascii="Calibri" w:hAnsi="Calibri"/>
          <w:sz w:val="24"/>
          <w:szCs w:val="24"/>
        </w:rPr>
        <w:t>reporting levels</w:t>
      </w:r>
      <w:r w:rsidR="001B78FA">
        <w:rPr>
          <w:rFonts w:ascii="Calibri" w:hAnsi="Calibri"/>
          <w:sz w:val="24"/>
          <w:szCs w:val="24"/>
        </w:rPr>
        <w:t xml:space="preserve"> regarding the plan</w:t>
      </w:r>
      <w:r>
        <w:rPr>
          <w:rFonts w:ascii="Calibri" w:hAnsi="Calibri"/>
          <w:sz w:val="24"/>
          <w:szCs w:val="24"/>
        </w:rPr>
        <w:t>. OEA</w:t>
      </w:r>
      <w:r w:rsidR="001B3CDD">
        <w:rPr>
          <w:rFonts w:ascii="Calibri" w:hAnsi="Calibri"/>
          <w:sz w:val="24"/>
          <w:szCs w:val="24"/>
        </w:rPr>
        <w:t xml:space="preserve"> reiterates its recommendation </w:t>
      </w:r>
      <w:r w:rsidR="007D2B33">
        <w:rPr>
          <w:rFonts w:ascii="Calibri" w:hAnsi="Calibri"/>
          <w:sz w:val="24"/>
          <w:szCs w:val="24"/>
        </w:rPr>
        <w:t xml:space="preserve">that </w:t>
      </w:r>
      <w:r w:rsidR="001B3CDD">
        <w:rPr>
          <w:rFonts w:ascii="Calibri" w:hAnsi="Calibri"/>
          <w:sz w:val="24"/>
          <w:szCs w:val="24"/>
        </w:rPr>
        <w:t>lo</w:t>
      </w:r>
      <w:r w:rsidR="00FD47AD">
        <w:rPr>
          <w:rFonts w:ascii="Calibri" w:hAnsi="Calibri"/>
          <w:sz w:val="24"/>
          <w:szCs w:val="24"/>
        </w:rPr>
        <w:t>cals demand and bargain Option 3</w:t>
      </w:r>
      <w:r w:rsidR="000409B5">
        <w:rPr>
          <w:rFonts w:ascii="Calibri" w:hAnsi="Calibri"/>
          <w:sz w:val="24"/>
          <w:szCs w:val="24"/>
        </w:rPr>
        <w:t>/“Option C”</w:t>
      </w:r>
      <w:r w:rsidR="001B3CDD">
        <w:rPr>
          <w:rFonts w:ascii="Calibri" w:hAnsi="Calibri"/>
          <w:sz w:val="24"/>
          <w:szCs w:val="24"/>
        </w:rPr>
        <w:t xml:space="preserve"> to ensure the least amount of information is uploaded into eTPES.  </w:t>
      </w:r>
      <w:r w:rsidR="000409B5">
        <w:rPr>
          <w:rFonts w:ascii="Calibri" w:hAnsi="Calibri"/>
          <w:sz w:val="24"/>
          <w:szCs w:val="24"/>
        </w:rPr>
        <w:t xml:space="preserve">(On the OEA Intranet, see EPRMA Documents/Sample Teacher Evaluation Language/Draft Teacher Samp Lang 3-25-14, </w:t>
      </w:r>
      <w:r w:rsidR="00FD47AD">
        <w:rPr>
          <w:rFonts w:ascii="Calibri" w:hAnsi="Calibri"/>
          <w:sz w:val="24"/>
          <w:szCs w:val="24"/>
        </w:rPr>
        <w:t>lines 1440-1460.)</w:t>
      </w:r>
    </w:p>
    <w:p w:rsidR="001B3CDD" w:rsidRPr="001B3CDD" w:rsidRDefault="001B3CDD" w:rsidP="001B3CDD">
      <w:pPr>
        <w:pStyle w:val="ListParagraph"/>
        <w:rPr>
          <w:rFonts w:ascii="Calibri" w:hAnsi="Calibri"/>
          <w:sz w:val="24"/>
          <w:szCs w:val="24"/>
        </w:rPr>
      </w:pPr>
    </w:p>
    <w:p w:rsidR="009E712D" w:rsidRDefault="001B78FA" w:rsidP="00D51209">
      <w:pPr>
        <w:pStyle w:val="ListParagraph"/>
        <w:numPr>
          <w:ilvl w:val="0"/>
          <w:numId w:val="9"/>
        </w:numPr>
        <w:textAlignment w:val="top"/>
        <w:rPr>
          <w:rFonts w:ascii="Calibri" w:hAnsi="Calibri"/>
          <w:sz w:val="24"/>
          <w:szCs w:val="24"/>
        </w:rPr>
      </w:pPr>
      <w:r w:rsidRPr="00553974">
        <w:rPr>
          <w:rFonts w:ascii="Calibri" w:hAnsi="Calibri"/>
          <w:sz w:val="24"/>
          <w:szCs w:val="24"/>
        </w:rPr>
        <w:t xml:space="preserve">CBAs in effect with </w:t>
      </w:r>
      <w:r w:rsidR="00694E5A" w:rsidRPr="00553974">
        <w:rPr>
          <w:rFonts w:ascii="Calibri" w:hAnsi="Calibri"/>
          <w:sz w:val="24"/>
          <w:szCs w:val="24"/>
        </w:rPr>
        <w:t xml:space="preserve">applicable language regarding improvement </w:t>
      </w:r>
      <w:r w:rsidRPr="00553974">
        <w:rPr>
          <w:rFonts w:ascii="Calibri" w:hAnsi="Calibri"/>
          <w:sz w:val="24"/>
          <w:szCs w:val="24"/>
        </w:rPr>
        <w:t xml:space="preserve">and professional development </w:t>
      </w:r>
      <w:r w:rsidR="00694E5A" w:rsidRPr="00553974">
        <w:rPr>
          <w:rFonts w:ascii="Calibri" w:hAnsi="Calibri"/>
          <w:sz w:val="24"/>
          <w:szCs w:val="24"/>
        </w:rPr>
        <w:t xml:space="preserve">plans, their triggers and </w:t>
      </w:r>
      <w:r w:rsidR="00694E5A" w:rsidRPr="00553974">
        <w:rPr>
          <w:rFonts w:ascii="Calibri" w:hAnsi="Calibri"/>
          <w:i/>
          <w:sz w:val="24"/>
          <w:szCs w:val="24"/>
        </w:rPr>
        <w:t>cons</w:t>
      </w:r>
      <w:bookmarkStart w:id="1" w:name="3319.111(A)"/>
      <w:r w:rsidRPr="00553974">
        <w:rPr>
          <w:rFonts w:ascii="Calibri" w:hAnsi="Calibri"/>
          <w:i/>
          <w:sz w:val="24"/>
          <w:szCs w:val="24"/>
        </w:rPr>
        <w:t>equences</w:t>
      </w:r>
      <w:r w:rsidRPr="00553974">
        <w:rPr>
          <w:rFonts w:ascii="Calibri" w:hAnsi="Calibri"/>
          <w:sz w:val="24"/>
          <w:szCs w:val="24"/>
        </w:rPr>
        <w:t xml:space="preserve"> should be </w:t>
      </w:r>
      <w:r w:rsidR="00553974" w:rsidRPr="00553974">
        <w:rPr>
          <w:rFonts w:ascii="Calibri" w:hAnsi="Calibri"/>
          <w:sz w:val="24"/>
          <w:szCs w:val="24"/>
        </w:rPr>
        <w:t xml:space="preserve">carefully </w:t>
      </w:r>
      <w:r w:rsidRPr="00553974">
        <w:rPr>
          <w:rFonts w:ascii="Calibri" w:hAnsi="Calibri"/>
          <w:sz w:val="24"/>
          <w:szCs w:val="24"/>
        </w:rPr>
        <w:t>reviewed as they relate to</w:t>
      </w:r>
      <w:r w:rsidR="00694E5A" w:rsidRPr="00553974">
        <w:rPr>
          <w:rFonts w:ascii="Calibri" w:hAnsi="Calibri"/>
          <w:sz w:val="24"/>
          <w:szCs w:val="24"/>
        </w:rPr>
        <w:t xml:space="preserve"> legislatively mandated deadlines such as </w:t>
      </w:r>
      <w:r w:rsidR="007D2B33">
        <w:rPr>
          <w:rFonts w:ascii="Calibri" w:hAnsi="Calibri"/>
          <w:sz w:val="24"/>
          <w:szCs w:val="24"/>
        </w:rPr>
        <w:t xml:space="preserve">ORC </w:t>
      </w:r>
      <w:r w:rsidRPr="00553974">
        <w:rPr>
          <w:rFonts w:ascii="Calibri" w:hAnsi="Calibri"/>
          <w:sz w:val="24"/>
          <w:szCs w:val="24"/>
        </w:rPr>
        <w:t>3319.111</w:t>
      </w:r>
      <w:r w:rsidR="00694E5A" w:rsidRPr="00553974">
        <w:rPr>
          <w:rFonts w:ascii="Calibri" w:hAnsi="Calibri"/>
          <w:sz w:val="24"/>
          <w:szCs w:val="24"/>
        </w:rPr>
        <w:t>(A</w:t>
      </w:r>
      <w:r w:rsidR="00694E5A" w:rsidRPr="007D2B33">
        <w:rPr>
          <w:rFonts w:ascii="Calibri" w:hAnsi="Calibri"/>
          <w:sz w:val="24"/>
          <w:szCs w:val="24"/>
        </w:rPr>
        <w:t>)</w:t>
      </w:r>
      <w:bookmarkEnd w:id="1"/>
      <w:r w:rsidR="00553974" w:rsidRPr="007D2B33">
        <w:rPr>
          <w:rFonts w:ascii="Calibri" w:hAnsi="Calibri"/>
          <w:sz w:val="24"/>
          <w:szCs w:val="24"/>
        </w:rPr>
        <w:t>,</w:t>
      </w:r>
      <w:r w:rsidR="007D2B33">
        <w:rPr>
          <w:rFonts w:ascii="Calibri" w:hAnsi="Calibri"/>
          <w:sz w:val="24"/>
          <w:szCs w:val="24"/>
        </w:rPr>
        <w:t xml:space="preserve"> the school district’s board adopted policy per ORC </w:t>
      </w:r>
      <w:bookmarkStart w:id="2" w:name="3319.111(F)"/>
      <w:r w:rsidR="007D2B33">
        <w:rPr>
          <w:rFonts w:ascii="Calibri" w:hAnsi="Calibri"/>
          <w:sz w:val="24"/>
          <w:szCs w:val="24"/>
        </w:rPr>
        <w:t>3319.111</w:t>
      </w:r>
      <w:r w:rsidR="00694E5A" w:rsidRPr="00553974">
        <w:rPr>
          <w:rFonts w:ascii="Calibri" w:hAnsi="Calibri"/>
          <w:sz w:val="24"/>
          <w:szCs w:val="24"/>
        </w:rPr>
        <w:t>(F)</w:t>
      </w:r>
      <w:bookmarkEnd w:id="2"/>
      <w:r w:rsidR="007D2B33">
        <w:rPr>
          <w:rFonts w:ascii="Calibri" w:hAnsi="Calibri"/>
          <w:sz w:val="24"/>
          <w:szCs w:val="24"/>
        </w:rPr>
        <w:t>,</w:t>
      </w:r>
      <w:r w:rsidR="00553974">
        <w:rPr>
          <w:rFonts w:ascii="Calibri" w:hAnsi="Calibri"/>
          <w:sz w:val="24"/>
          <w:szCs w:val="24"/>
        </w:rPr>
        <w:t xml:space="preserve"> and for districts who have completed three complete cycles o</w:t>
      </w:r>
      <w:r w:rsidR="007D2B33">
        <w:rPr>
          <w:rFonts w:ascii="Calibri" w:hAnsi="Calibri"/>
          <w:sz w:val="24"/>
          <w:szCs w:val="24"/>
        </w:rPr>
        <w:t>f evaluation (ORC 3319.58)</w:t>
      </w:r>
      <w:r w:rsidR="00553974">
        <w:rPr>
          <w:rFonts w:ascii="Calibri" w:hAnsi="Calibri"/>
          <w:sz w:val="24"/>
          <w:szCs w:val="24"/>
        </w:rPr>
        <w:t xml:space="preserve">.  </w:t>
      </w:r>
    </w:p>
    <w:p w:rsidR="00553974" w:rsidRPr="00553974" w:rsidRDefault="00553974" w:rsidP="00553974">
      <w:pPr>
        <w:pStyle w:val="ListParagraph"/>
        <w:rPr>
          <w:rFonts w:ascii="Calibri" w:hAnsi="Calibri"/>
          <w:sz w:val="24"/>
          <w:szCs w:val="24"/>
        </w:rPr>
      </w:pPr>
    </w:p>
    <w:p w:rsidR="00F15849" w:rsidRDefault="00553974" w:rsidP="00553974">
      <w:pPr>
        <w:textAlignment w:val="top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Moving forward, </w:t>
      </w:r>
      <w:r w:rsidR="00F15849">
        <w:rPr>
          <w:rFonts w:ascii="Calibri" w:hAnsi="Calibri"/>
          <w:sz w:val="24"/>
          <w:szCs w:val="24"/>
        </w:rPr>
        <w:t>districts may determine additional triggers and co</w:t>
      </w:r>
      <w:r w:rsidR="007D2B33">
        <w:rPr>
          <w:rFonts w:ascii="Calibri" w:hAnsi="Calibri"/>
          <w:sz w:val="24"/>
          <w:szCs w:val="24"/>
        </w:rPr>
        <w:t xml:space="preserve">nsequences of improvement plans; </w:t>
      </w:r>
      <w:r w:rsidR="00F15849">
        <w:rPr>
          <w:rFonts w:ascii="Calibri" w:hAnsi="Calibri"/>
          <w:sz w:val="24"/>
          <w:szCs w:val="24"/>
        </w:rPr>
        <w:t>however</w:t>
      </w:r>
      <w:r w:rsidR="007D2B33">
        <w:rPr>
          <w:rFonts w:ascii="Calibri" w:hAnsi="Calibri"/>
          <w:sz w:val="24"/>
          <w:szCs w:val="24"/>
        </w:rPr>
        <w:t>,</w:t>
      </w:r>
      <w:r w:rsidR="00F15849">
        <w:rPr>
          <w:rFonts w:ascii="Calibri" w:hAnsi="Calibri"/>
          <w:sz w:val="24"/>
          <w:szCs w:val="24"/>
        </w:rPr>
        <w:t xml:space="preserve"> these decisions are subject to bargaining which is directly stated in the November 2015 updates to the OTES framework. </w:t>
      </w:r>
    </w:p>
    <w:p w:rsidR="00F15849" w:rsidRDefault="00F15849" w:rsidP="00553974">
      <w:pPr>
        <w:textAlignment w:val="top"/>
        <w:rPr>
          <w:rFonts w:ascii="Calibri" w:hAnsi="Calibri"/>
          <w:sz w:val="24"/>
          <w:szCs w:val="24"/>
        </w:rPr>
      </w:pPr>
    </w:p>
    <w:p w:rsidR="00553974" w:rsidRPr="00F15849" w:rsidRDefault="00F15849" w:rsidP="00553974">
      <w:pPr>
        <w:textAlignment w:val="top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While significant federal decisions seem poised to be a light at the end of the tunnel, it is important to ensure quality professional development within any plans are provided to members through bargaining.  If states are provided absolute</w:t>
      </w:r>
      <w:r w:rsidR="00234930">
        <w:rPr>
          <w:rFonts w:ascii="Calibri" w:hAnsi="Calibri"/>
          <w:sz w:val="24"/>
          <w:szCs w:val="24"/>
        </w:rPr>
        <w:t xml:space="preserve"> or better</w:t>
      </w:r>
      <w:r>
        <w:rPr>
          <w:rFonts w:ascii="Calibri" w:hAnsi="Calibri"/>
          <w:sz w:val="24"/>
          <w:szCs w:val="24"/>
        </w:rPr>
        <w:t xml:space="preserve"> control of evaluation through ESEA’s reauthorization, </w:t>
      </w:r>
      <w:r w:rsidRPr="00234930">
        <w:rPr>
          <w:rFonts w:ascii="Calibri" w:hAnsi="Calibri"/>
          <w:b/>
          <w:sz w:val="24"/>
          <w:szCs w:val="24"/>
        </w:rPr>
        <w:t>it will be critical for all teachers to loudly voice</w:t>
      </w:r>
      <w:r>
        <w:rPr>
          <w:rFonts w:ascii="Calibri" w:hAnsi="Calibri"/>
          <w:sz w:val="24"/>
          <w:szCs w:val="24"/>
        </w:rPr>
        <w:t xml:space="preserve"> to </w:t>
      </w:r>
      <w:r w:rsidR="00234930">
        <w:rPr>
          <w:rFonts w:ascii="Calibri" w:hAnsi="Calibri"/>
          <w:sz w:val="24"/>
          <w:szCs w:val="24"/>
        </w:rPr>
        <w:t>legislators, the Department of Education, State Boar</w:t>
      </w:r>
      <w:r w:rsidR="007D2B33">
        <w:rPr>
          <w:rFonts w:ascii="Calibri" w:hAnsi="Calibri"/>
          <w:sz w:val="24"/>
          <w:szCs w:val="24"/>
        </w:rPr>
        <w:t xml:space="preserve">d of Education and Ohio voters </w:t>
      </w:r>
      <w:r w:rsidR="00234930">
        <w:rPr>
          <w:rFonts w:ascii="Calibri" w:hAnsi="Calibri"/>
          <w:sz w:val="24"/>
          <w:szCs w:val="24"/>
        </w:rPr>
        <w:t xml:space="preserve">the damage caused by mandates which do not ensure equitable opportunities for our children. </w:t>
      </w:r>
    </w:p>
    <w:p w:rsidR="009E712D" w:rsidRPr="009E712D" w:rsidRDefault="009E712D" w:rsidP="009E712D">
      <w:pPr>
        <w:ind w:left="720"/>
        <w:textAlignment w:val="top"/>
        <w:rPr>
          <w:rFonts w:ascii="Calibri" w:hAnsi="Calibri"/>
          <w:sz w:val="24"/>
          <w:szCs w:val="24"/>
        </w:rPr>
      </w:pPr>
    </w:p>
    <w:p w:rsidR="001C39CE" w:rsidRDefault="001C39CE" w:rsidP="00C637D4">
      <w:pPr>
        <w:textAlignment w:val="top"/>
        <w:rPr>
          <w:rFonts w:ascii="Calibri" w:hAnsi="Calibri"/>
          <w:sz w:val="24"/>
          <w:szCs w:val="24"/>
        </w:rPr>
      </w:pPr>
    </w:p>
    <w:p w:rsidR="001C39CE" w:rsidRPr="00C637D4" w:rsidRDefault="001C39CE" w:rsidP="00C637D4">
      <w:pPr>
        <w:textAlignment w:val="top"/>
        <w:rPr>
          <w:rFonts w:ascii="Calibri" w:hAnsi="Calibri"/>
          <w:sz w:val="24"/>
          <w:szCs w:val="24"/>
        </w:rPr>
      </w:pPr>
    </w:p>
    <w:sectPr w:rsidR="001C39CE" w:rsidRPr="00C637D4" w:rsidSect="007A3127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A8" w:rsidRDefault="002E6AA8">
      <w:r>
        <w:separator/>
      </w:r>
    </w:p>
  </w:endnote>
  <w:endnote w:type="continuationSeparator" w:id="0">
    <w:p w:rsidR="002E6AA8" w:rsidRDefault="002E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B33" w:rsidRPr="00024ED3" w:rsidRDefault="007D2B33" w:rsidP="00024ED3">
    <w:pPr>
      <w:pStyle w:val="Footer"/>
      <w:jc w:val="right"/>
    </w:pPr>
    <w:r w:rsidRPr="00024ED3">
      <w:t xml:space="preserve">Page </w:t>
    </w:r>
    <w:r w:rsidRPr="00024ED3">
      <w:fldChar w:fldCharType="begin"/>
    </w:r>
    <w:r w:rsidRPr="00024ED3">
      <w:instrText xml:space="preserve"> PAGE  \* Arabic  \* MERGEFORMAT </w:instrText>
    </w:r>
    <w:r w:rsidRPr="00024ED3">
      <w:fldChar w:fldCharType="separate"/>
    </w:r>
    <w:r w:rsidR="00AB667A">
      <w:rPr>
        <w:noProof/>
      </w:rPr>
      <w:t>1</w:t>
    </w:r>
    <w:r w:rsidRPr="00024ED3">
      <w:fldChar w:fldCharType="end"/>
    </w:r>
    <w:r w:rsidRPr="00024ED3">
      <w:t xml:space="preserve"> of </w:t>
    </w:r>
    <w:r w:rsidR="002E6AA8">
      <w:fldChar w:fldCharType="begin"/>
    </w:r>
    <w:r w:rsidR="002E6AA8">
      <w:instrText xml:space="preserve"> NUMPAGES  \* Arabic  \* MERGEFORMAT </w:instrText>
    </w:r>
    <w:r w:rsidR="002E6AA8">
      <w:fldChar w:fldCharType="separate"/>
    </w:r>
    <w:r w:rsidR="00AB667A">
      <w:rPr>
        <w:noProof/>
      </w:rPr>
      <w:t>2</w:t>
    </w:r>
    <w:r w:rsidR="002E6AA8">
      <w:rPr>
        <w:noProof/>
      </w:rPr>
      <w:fldChar w:fldCharType="end"/>
    </w:r>
  </w:p>
  <w:p w:rsidR="007D2B33" w:rsidRDefault="007D2B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A8" w:rsidRDefault="002E6AA8">
      <w:r>
        <w:separator/>
      </w:r>
    </w:p>
  </w:footnote>
  <w:footnote w:type="continuationSeparator" w:id="0">
    <w:p w:rsidR="002E6AA8" w:rsidRDefault="002E6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4436"/>
    <w:multiLevelType w:val="hybridMultilevel"/>
    <w:tmpl w:val="18FE3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41D79"/>
    <w:multiLevelType w:val="hybridMultilevel"/>
    <w:tmpl w:val="C5D4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35D40"/>
    <w:multiLevelType w:val="hybridMultilevel"/>
    <w:tmpl w:val="42AACC2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5F1E3B12"/>
    <w:multiLevelType w:val="hybridMultilevel"/>
    <w:tmpl w:val="C3DA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A73F1"/>
    <w:multiLevelType w:val="hybridMultilevel"/>
    <w:tmpl w:val="5D8E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E3A24"/>
    <w:multiLevelType w:val="hybridMultilevel"/>
    <w:tmpl w:val="41A00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3392A"/>
    <w:multiLevelType w:val="hybridMultilevel"/>
    <w:tmpl w:val="72FC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41D57"/>
    <w:multiLevelType w:val="hybridMultilevel"/>
    <w:tmpl w:val="5FC6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648A7"/>
    <w:multiLevelType w:val="hybridMultilevel"/>
    <w:tmpl w:val="C86C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62"/>
    <w:rsid w:val="00024ED3"/>
    <w:rsid w:val="000409B5"/>
    <w:rsid w:val="00045341"/>
    <w:rsid w:val="00072E6D"/>
    <w:rsid w:val="000A0C0B"/>
    <w:rsid w:val="000D0301"/>
    <w:rsid w:val="000E4EB0"/>
    <w:rsid w:val="000F414D"/>
    <w:rsid w:val="00131B5E"/>
    <w:rsid w:val="00141C7A"/>
    <w:rsid w:val="00153C7B"/>
    <w:rsid w:val="00155B3E"/>
    <w:rsid w:val="00163875"/>
    <w:rsid w:val="00193408"/>
    <w:rsid w:val="001B3CDD"/>
    <w:rsid w:val="001B78FA"/>
    <w:rsid w:val="001B7CBB"/>
    <w:rsid w:val="001C39CE"/>
    <w:rsid w:val="001D014C"/>
    <w:rsid w:val="00213071"/>
    <w:rsid w:val="00234930"/>
    <w:rsid w:val="002668B7"/>
    <w:rsid w:val="00283164"/>
    <w:rsid w:val="00295380"/>
    <w:rsid w:val="0029679F"/>
    <w:rsid w:val="002A2DBE"/>
    <w:rsid w:val="002E673C"/>
    <w:rsid w:val="002E6AA8"/>
    <w:rsid w:val="002F04CF"/>
    <w:rsid w:val="00307757"/>
    <w:rsid w:val="00337F92"/>
    <w:rsid w:val="003744BB"/>
    <w:rsid w:val="00384BCC"/>
    <w:rsid w:val="00386AA7"/>
    <w:rsid w:val="00390069"/>
    <w:rsid w:val="0039009D"/>
    <w:rsid w:val="003956DD"/>
    <w:rsid w:val="003B474D"/>
    <w:rsid w:val="003C1ACE"/>
    <w:rsid w:val="003F3EF2"/>
    <w:rsid w:val="003F66F3"/>
    <w:rsid w:val="00402D85"/>
    <w:rsid w:val="00414D34"/>
    <w:rsid w:val="0042236F"/>
    <w:rsid w:val="00430E09"/>
    <w:rsid w:val="00454336"/>
    <w:rsid w:val="004A282E"/>
    <w:rsid w:val="004A3D99"/>
    <w:rsid w:val="004A5088"/>
    <w:rsid w:val="004C7A11"/>
    <w:rsid w:val="004E3075"/>
    <w:rsid w:val="00541789"/>
    <w:rsid w:val="00553974"/>
    <w:rsid w:val="00571A27"/>
    <w:rsid w:val="005B067F"/>
    <w:rsid w:val="005D5BEF"/>
    <w:rsid w:val="0060174C"/>
    <w:rsid w:val="00610FE6"/>
    <w:rsid w:val="00694E5A"/>
    <w:rsid w:val="00701CB0"/>
    <w:rsid w:val="007115CB"/>
    <w:rsid w:val="007224C0"/>
    <w:rsid w:val="00731596"/>
    <w:rsid w:val="00753026"/>
    <w:rsid w:val="007579CB"/>
    <w:rsid w:val="007735D5"/>
    <w:rsid w:val="007A1D80"/>
    <w:rsid w:val="007A3127"/>
    <w:rsid w:val="007A7255"/>
    <w:rsid w:val="007D2B33"/>
    <w:rsid w:val="007F72EA"/>
    <w:rsid w:val="00802BD9"/>
    <w:rsid w:val="00832931"/>
    <w:rsid w:val="008401A3"/>
    <w:rsid w:val="00906CF8"/>
    <w:rsid w:val="009221C0"/>
    <w:rsid w:val="00926CEE"/>
    <w:rsid w:val="009831A2"/>
    <w:rsid w:val="009903BA"/>
    <w:rsid w:val="00991FF6"/>
    <w:rsid w:val="009C5F35"/>
    <w:rsid w:val="009E5B1D"/>
    <w:rsid w:val="009E712D"/>
    <w:rsid w:val="00A03FE3"/>
    <w:rsid w:val="00A205DF"/>
    <w:rsid w:val="00A46BF5"/>
    <w:rsid w:val="00A8320C"/>
    <w:rsid w:val="00AA3B2D"/>
    <w:rsid w:val="00AB2036"/>
    <w:rsid w:val="00AB667A"/>
    <w:rsid w:val="00AC26FE"/>
    <w:rsid w:val="00AD7AD3"/>
    <w:rsid w:val="00AE0104"/>
    <w:rsid w:val="00AE0666"/>
    <w:rsid w:val="00AE2872"/>
    <w:rsid w:val="00AF66C8"/>
    <w:rsid w:val="00B41E59"/>
    <w:rsid w:val="00B52F72"/>
    <w:rsid w:val="00B924FC"/>
    <w:rsid w:val="00BB5E14"/>
    <w:rsid w:val="00BC5567"/>
    <w:rsid w:val="00BD4814"/>
    <w:rsid w:val="00C1282C"/>
    <w:rsid w:val="00C21020"/>
    <w:rsid w:val="00C36DE2"/>
    <w:rsid w:val="00C637D4"/>
    <w:rsid w:val="00CB3762"/>
    <w:rsid w:val="00CC0949"/>
    <w:rsid w:val="00D31D5E"/>
    <w:rsid w:val="00D552D2"/>
    <w:rsid w:val="00D5689A"/>
    <w:rsid w:val="00D56B3A"/>
    <w:rsid w:val="00D728BF"/>
    <w:rsid w:val="00D93A66"/>
    <w:rsid w:val="00DB17DD"/>
    <w:rsid w:val="00DE185D"/>
    <w:rsid w:val="00E141AC"/>
    <w:rsid w:val="00E6757F"/>
    <w:rsid w:val="00EA0442"/>
    <w:rsid w:val="00EE1124"/>
    <w:rsid w:val="00F12FBC"/>
    <w:rsid w:val="00F15849"/>
    <w:rsid w:val="00F8036F"/>
    <w:rsid w:val="00F81BB8"/>
    <w:rsid w:val="00F81F02"/>
    <w:rsid w:val="00FD2B99"/>
    <w:rsid w:val="00FD47AD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073FED-E737-4AE0-9D6B-3682B4CB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725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72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0E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3164"/>
    <w:rPr>
      <w:rFonts w:ascii="Tahoma" w:hAnsi="Tahoma" w:cs="Tahoma"/>
      <w:sz w:val="16"/>
      <w:szCs w:val="16"/>
    </w:rPr>
  </w:style>
  <w:style w:type="character" w:styleId="Hyperlink">
    <w:name w:val="Hyperlink"/>
    <w:rsid w:val="00A205DF"/>
    <w:rPr>
      <w:color w:val="0000FF"/>
      <w:u w:val="single"/>
    </w:rPr>
  </w:style>
  <w:style w:type="character" w:customStyle="1" w:styleId="Heading2Char">
    <w:name w:val="Heading 2 Char"/>
    <w:link w:val="Heading2"/>
    <w:uiPriority w:val="99"/>
    <w:rsid w:val="007A725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7A7255"/>
    <w:rPr>
      <w:rFonts w:ascii="Arial" w:hAnsi="Arial" w:cs="Arial"/>
      <w:b/>
      <w:bCs/>
      <w:sz w:val="26"/>
      <w:szCs w:val="26"/>
    </w:rPr>
  </w:style>
  <w:style w:type="character" w:customStyle="1" w:styleId="FooterChar">
    <w:name w:val="Footer Char"/>
    <w:link w:val="Footer"/>
    <w:uiPriority w:val="99"/>
    <w:rsid w:val="00832931"/>
    <w:rPr>
      <w:rFonts w:ascii="Arial" w:hAnsi="Arial"/>
    </w:rPr>
  </w:style>
  <w:style w:type="character" w:customStyle="1" w:styleId="HeaderChar">
    <w:name w:val="Header Char"/>
    <w:link w:val="Header"/>
    <w:uiPriority w:val="99"/>
    <w:rsid w:val="007115CB"/>
    <w:rPr>
      <w:rFonts w:ascii="Arial" w:hAnsi="Arial"/>
    </w:rPr>
  </w:style>
  <w:style w:type="paragraph" w:styleId="FootnoteText">
    <w:name w:val="footnote text"/>
    <w:basedOn w:val="Normal"/>
    <w:link w:val="FootnoteTextChar"/>
    <w:rsid w:val="00131B5E"/>
  </w:style>
  <w:style w:type="character" w:customStyle="1" w:styleId="FootnoteTextChar">
    <w:name w:val="Footnote Text Char"/>
    <w:link w:val="FootnoteText"/>
    <w:rsid w:val="00131B5E"/>
    <w:rPr>
      <w:rFonts w:ascii="Arial" w:hAnsi="Arial"/>
    </w:rPr>
  </w:style>
  <w:style w:type="character" w:styleId="FootnoteReference">
    <w:name w:val="footnote reference"/>
    <w:rsid w:val="00131B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B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ohio.gov/getattachment/Topics/Teaching/Educator-Equity/Ohio-s-Educator-Standards/Finalstandards-professional-development_FINAL-1.pdf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996D-B328-457B-980C-CDA99D83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Education Association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Darren Clum</dc:creator>
  <cp:lastModifiedBy>Adornetto, Ellen [OH]</cp:lastModifiedBy>
  <cp:revision>2</cp:revision>
  <cp:lastPrinted>2015-12-01T18:17:00Z</cp:lastPrinted>
  <dcterms:created xsi:type="dcterms:W3CDTF">2015-12-01T18:21:00Z</dcterms:created>
  <dcterms:modified xsi:type="dcterms:W3CDTF">2015-12-01T18:21:00Z</dcterms:modified>
</cp:coreProperties>
</file>